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jc w:val="center"/>
        <w:rPr>
          <w:rFonts w:ascii="方正小标宋_GBK" w:eastAsia="方正小标宋_GBK"/>
          <w:sz w:val="44"/>
          <w:szCs w:val="44"/>
        </w:rPr>
      </w:pPr>
      <w:bookmarkStart w:id="0" w:name="_GoBack"/>
      <w:r>
        <w:rPr>
          <w:rFonts w:hint="eastAsia" w:ascii="方正小标宋_GBK" w:eastAsia="方正小标宋_GBK"/>
          <w:sz w:val="44"/>
          <w:szCs w:val="44"/>
        </w:rPr>
        <w:t>《海关总署关于处理主动披露违规行为</w:t>
      </w:r>
    </w:p>
    <w:p>
      <w:pPr>
        <w:spacing w:line="560" w:lineRule="exact"/>
        <w:ind w:left="0"/>
        <w:jc w:val="center"/>
        <w:rPr>
          <w:rFonts w:ascii="方正小标宋_GBK" w:eastAsia="方正小标宋_GBK"/>
          <w:sz w:val="44"/>
          <w:szCs w:val="44"/>
        </w:rPr>
      </w:pPr>
      <w:r>
        <w:rPr>
          <w:rFonts w:hint="eastAsia" w:ascii="方正小标宋_GBK" w:eastAsia="方正小标宋_GBK"/>
          <w:sz w:val="44"/>
          <w:szCs w:val="44"/>
        </w:rPr>
        <w:t>有关事项的公告》</w:t>
      </w:r>
    </w:p>
    <w:p>
      <w:pPr>
        <w:spacing w:line="560" w:lineRule="exact"/>
        <w:ind w:left="0"/>
        <w:jc w:val="center"/>
        <w:rPr>
          <w:rFonts w:hint="eastAsia" w:ascii="方正楷体_GBK" w:eastAsia="方正楷体_GBK"/>
          <w:b/>
          <w:bCs/>
          <w:szCs w:val="32"/>
        </w:rPr>
      </w:pPr>
      <w:r>
        <w:rPr>
          <w:rFonts w:hint="eastAsia" w:ascii="方正楷体_GBK" w:eastAsia="方正楷体_GBK"/>
          <w:b/>
          <w:bCs/>
          <w:szCs w:val="32"/>
        </w:rPr>
        <w:t>（征求意见稿）</w:t>
      </w:r>
    </w:p>
    <w:bookmarkEnd w:id="0"/>
    <w:p>
      <w:pPr>
        <w:spacing w:line="560" w:lineRule="exact"/>
        <w:ind w:left="0"/>
        <w:jc w:val="center"/>
        <w:rPr>
          <w:rFonts w:hint="eastAsia" w:ascii="方正小标宋_GBK" w:eastAsia="方正小标宋_GBK"/>
          <w:bCs/>
          <w:color w:val="000000"/>
          <w:sz w:val="44"/>
          <w:szCs w:val="44"/>
        </w:rPr>
      </w:pPr>
    </w:p>
    <w:p>
      <w:pPr>
        <w:spacing w:line="560" w:lineRule="exact"/>
        <w:ind w:firstLine="632" w:firstLineChars="200"/>
        <w:rPr>
          <w:bCs/>
          <w:color w:val="000000"/>
          <w:szCs w:val="32"/>
        </w:rPr>
      </w:pPr>
      <w:r>
        <w:rPr>
          <w:bCs/>
          <w:color w:val="000000"/>
          <w:szCs w:val="32"/>
        </w:rPr>
        <w:t>为贯彻落实中央经济工作会议</w:t>
      </w:r>
      <w:r>
        <w:rPr>
          <w:rFonts w:hint="eastAsia"/>
          <w:bCs/>
          <w:color w:val="000000"/>
          <w:szCs w:val="32"/>
        </w:rPr>
        <w:t>“</w:t>
      </w:r>
      <w:r>
        <w:rPr>
          <w:bCs/>
          <w:color w:val="000000"/>
          <w:szCs w:val="32"/>
        </w:rPr>
        <w:t>稳字当头、稳中求进</w:t>
      </w:r>
      <w:r>
        <w:rPr>
          <w:rFonts w:hint="eastAsia"/>
          <w:bCs/>
          <w:color w:val="000000"/>
          <w:szCs w:val="32"/>
        </w:rPr>
        <w:t>”</w:t>
      </w:r>
      <w:r>
        <w:rPr>
          <w:bCs/>
          <w:color w:val="000000"/>
          <w:szCs w:val="32"/>
        </w:rPr>
        <w:t>相关要求，着力推动外贸稳规模优结构，</w:t>
      </w:r>
      <w:r>
        <w:rPr>
          <w:rFonts w:hint="eastAsia"/>
          <w:bCs/>
          <w:color w:val="000000"/>
          <w:szCs w:val="32"/>
        </w:rPr>
        <w:t>加快</w:t>
      </w:r>
      <w:r>
        <w:rPr>
          <w:bCs/>
          <w:color w:val="000000"/>
          <w:szCs w:val="32"/>
        </w:rPr>
        <w:t>促进</w:t>
      </w:r>
      <w:r>
        <w:rPr>
          <w:rFonts w:hint="eastAsia"/>
          <w:bCs/>
          <w:color w:val="000000"/>
          <w:szCs w:val="32"/>
        </w:rPr>
        <w:t>高水平</w:t>
      </w:r>
      <w:r>
        <w:rPr>
          <w:bCs/>
          <w:color w:val="000000"/>
          <w:szCs w:val="32"/>
        </w:rPr>
        <w:t>对外</w:t>
      </w:r>
      <w:r>
        <w:rPr>
          <w:rFonts w:hint="eastAsia"/>
          <w:bCs/>
          <w:color w:val="000000"/>
          <w:szCs w:val="32"/>
        </w:rPr>
        <w:t>开放</w:t>
      </w:r>
      <w:r>
        <w:rPr>
          <w:bCs/>
          <w:color w:val="000000"/>
          <w:szCs w:val="32"/>
        </w:rPr>
        <w:t>和</w:t>
      </w:r>
      <w:r>
        <w:rPr>
          <w:rFonts w:hint="eastAsia"/>
          <w:bCs/>
          <w:color w:val="000000"/>
          <w:szCs w:val="32"/>
        </w:rPr>
        <w:t>高质量发展</w:t>
      </w:r>
      <w:r>
        <w:rPr>
          <w:bCs/>
          <w:color w:val="000000"/>
          <w:szCs w:val="32"/>
        </w:rPr>
        <w:t>，现就进出口企业、单位在海关发现前主动披露违反海关规定行为，且及时改正的处理有关事项公告如下：</w:t>
      </w:r>
    </w:p>
    <w:p>
      <w:pPr>
        <w:spacing w:line="560" w:lineRule="exact"/>
        <w:ind w:firstLine="632" w:firstLineChars="200"/>
        <w:rPr>
          <w:bCs/>
          <w:color w:val="000000"/>
          <w:szCs w:val="32"/>
        </w:rPr>
      </w:pPr>
      <w:r>
        <w:rPr>
          <w:bCs/>
          <w:color w:val="000000"/>
          <w:szCs w:val="32"/>
        </w:rPr>
        <w:t>一、进出口企业、单位主动披露违反海关规定的行为，有下列情形之一的，不予行政处罚：</w:t>
      </w:r>
    </w:p>
    <w:p>
      <w:pPr>
        <w:spacing w:line="560" w:lineRule="exact"/>
        <w:ind w:firstLine="632" w:firstLineChars="200"/>
        <w:rPr>
          <w:bCs/>
          <w:color w:val="000000"/>
          <w:szCs w:val="32"/>
        </w:rPr>
      </w:pPr>
      <w:r>
        <w:rPr>
          <w:bCs/>
          <w:color w:val="000000"/>
          <w:szCs w:val="32"/>
        </w:rPr>
        <w:t xml:space="preserve">（一）自涉税违规行为发生之日起六个月内向海关主动披露的；   </w:t>
      </w:r>
    </w:p>
    <w:p>
      <w:pPr>
        <w:spacing w:line="560" w:lineRule="exact"/>
        <w:ind w:firstLine="632" w:firstLineChars="200"/>
        <w:rPr>
          <w:bCs/>
          <w:color w:val="000000"/>
          <w:szCs w:val="32"/>
        </w:rPr>
      </w:pPr>
      <w:r>
        <w:rPr>
          <w:bCs/>
          <w:color w:val="000000"/>
          <w:szCs w:val="32"/>
        </w:rPr>
        <w:t xml:space="preserve"> （二）自涉税违规行为发生之日起六个月后十八个月以内向海关主动披露，漏缴、少缴税款占应缴纳税款比例30%以下的，或者漏缴、少缴税款在人民币100万元以下的。</w:t>
      </w:r>
    </w:p>
    <w:p>
      <w:pPr>
        <w:spacing w:line="560" w:lineRule="exact"/>
        <w:ind w:firstLine="632" w:firstLineChars="200"/>
        <w:rPr>
          <w:bCs/>
          <w:color w:val="000000"/>
          <w:szCs w:val="32"/>
        </w:rPr>
      </w:pPr>
      <w:r>
        <w:rPr>
          <w:bCs/>
          <w:color w:val="000000"/>
          <w:szCs w:val="32"/>
        </w:rPr>
        <w:t>（三）影响国家出口退税管理的：</w:t>
      </w:r>
    </w:p>
    <w:p>
      <w:pPr>
        <w:spacing w:line="560" w:lineRule="exact"/>
        <w:ind w:firstLine="632" w:firstLineChars="200"/>
        <w:rPr>
          <w:bCs/>
          <w:color w:val="000000"/>
          <w:szCs w:val="32"/>
        </w:rPr>
      </w:pPr>
      <w:r>
        <w:rPr>
          <w:bCs/>
          <w:color w:val="000000"/>
          <w:szCs w:val="32"/>
        </w:rPr>
        <w:t>1.自违规行为发生之日起六个月内向海关主动披露的；</w:t>
      </w:r>
    </w:p>
    <w:p>
      <w:pPr>
        <w:spacing w:line="560" w:lineRule="exact"/>
        <w:ind w:firstLine="632" w:firstLineChars="200"/>
        <w:rPr>
          <w:bCs/>
          <w:color w:val="FF0000"/>
          <w:szCs w:val="32"/>
        </w:rPr>
      </w:pPr>
      <w:r>
        <w:rPr>
          <w:bCs/>
          <w:color w:val="000000"/>
          <w:szCs w:val="32"/>
        </w:rPr>
        <w:t>2.自违规行为发生之日起六个月后十八个月以内向海关主动披露，影响国家出口退税管理、可能多退税款占应退税款的30%以下，或者可能多退税款在人民币100万元以下的。</w:t>
      </w:r>
    </w:p>
    <w:p>
      <w:pPr>
        <w:spacing w:line="560" w:lineRule="exact"/>
        <w:ind w:firstLine="632" w:firstLineChars="200"/>
        <w:rPr>
          <w:bCs/>
          <w:color w:val="000000"/>
          <w:szCs w:val="32"/>
        </w:rPr>
      </w:pPr>
      <w:r>
        <w:rPr>
          <w:bCs/>
          <w:color w:val="000000"/>
          <w:szCs w:val="32"/>
        </w:rPr>
        <w:t>（四）加工贸易企业因工艺改进、使用非保税料件比例申报不准确等原因导致实际单耗低于已申报单耗，且因此产生的剩余料件、半制成品、制成品尚未处置的，或者已通过加工贸易方式复出口的。</w:t>
      </w:r>
    </w:p>
    <w:p>
      <w:pPr>
        <w:spacing w:line="560" w:lineRule="exact"/>
        <w:ind w:firstLine="632" w:firstLineChars="200"/>
        <w:rPr>
          <w:bCs/>
          <w:color w:val="000000"/>
          <w:szCs w:val="32"/>
        </w:rPr>
      </w:pPr>
      <w:r>
        <w:rPr>
          <w:bCs/>
          <w:color w:val="000000"/>
          <w:szCs w:val="32"/>
        </w:rPr>
        <w:t>（五）</w:t>
      </w:r>
      <w:r>
        <w:rPr>
          <w:rFonts w:hint="eastAsia"/>
          <w:bCs/>
          <w:color w:val="000000"/>
          <w:szCs w:val="32"/>
        </w:rPr>
        <w:t>适用《中华人民共和国海关行政处罚实施条例》第十五条第一项规定</w:t>
      </w:r>
      <w:r>
        <w:rPr>
          <w:bCs/>
          <w:color w:val="000000"/>
          <w:szCs w:val="32"/>
        </w:rPr>
        <w:t>，及时改正没有造成危害后果的：</w:t>
      </w:r>
    </w:p>
    <w:p>
      <w:pPr>
        <w:pStyle w:val="101"/>
        <w:spacing w:line="560" w:lineRule="exact"/>
        <w:ind w:left="0" w:firstLine="632" w:firstLineChars="200"/>
        <w:rPr>
          <w:rFonts w:eastAsia="方正仿宋_GBK"/>
          <w:bCs/>
          <w:color w:val="000000"/>
          <w:sz w:val="32"/>
          <w:szCs w:val="32"/>
        </w:rPr>
      </w:pPr>
      <w:r>
        <w:rPr>
          <w:rFonts w:eastAsia="方正仿宋_GBK"/>
          <w:bCs/>
          <w:color w:val="000000"/>
          <w:sz w:val="32"/>
          <w:szCs w:val="32"/>
        </w:rPr>
        <w:t>1．违法违规行为发生当月最后一日24点前，向海关主动披露且影响统计人民币总值1000万元以下的；</w:t>
      </w:r>
    </w:p>
    <w:p>
      <w:pPr>
        <w:pStyle w:val="101"/>
        <w:spacing w:line="560" w:lineRule="exact"/>
        <w:ind w:left="0" w:firstLine="632" w:firstLineChars="200"/>
        <w:rPr>
          <w:rFonts w:eastAsia="方正仿宋_GBK"/>
          <w:bCs/>
          <w:color w:val="000000"/>
          <w:sz w:val="32"/>
          <w:szCs w:val="32"/>
        </w:rPr>
      </w:pPr>
      <w:r>
        <w:rPr>
          <w:rFonts w:eastAsia="方正仿宋_GBK"/>
          <w:bCs/>
          <w:color w:val="000000"/>
          <w:sz w:val="32"/>
          <w:szCs w:val="32"/>
        </w:rPr>
        <w:t>2．违法违规行为发生当月最后一日24点后3个自然月内，向海关主动披露且影响统计人民币总值500万元以下的。</w:t>
      </w:r>
    </w:p>
    <w:p>
      <w:pPr>
        <w:pStyle w:val="101"/>
        <w:spacing w:line="560" w:lineRule="exact"/>
        <w:ind w:left="0" w:firstLine="632" w:firstLineChars="200"/>
        <w:rPr>
          <w:rFonts w:eastAsia="方正仿宋_GBK"/>
          <w:bCs/>
          <w:color w:val="000000"/>
          <w:sz w:val="32"/>
          <w:szCs w:val="32"/>
        </w:rPr>
      </w:pPr>
      <w:r>
        <w:rPr>
          <w:rFonts w:eastAsia="方正仿宋_GBK"/>
          <w:bCs/>
          <w:color w:val="000000"/>
          <w:sz w:val="32"/>
          <w:szCs w:val="32"/>
        </w:rPr>
        <w:t>（六）</w:t>
      </w:r>
      <w:r>
        <w:rPr>
          <w:rFonts w:hint="eastAsia" w:eastAsia="方正仿宋_GBK"/>
          <w:bCs/>
          <w:color w:val="000000"/>
          <w:sz w:val="32"/>
          <w:szCs w:val="32"/>
        </w:rPr>
        <w:t>适用《中华人民共和国海关行政处罚实施条例》第十五条第</w:t>
      </w:r>
      <w:r>
        <w:rPr>
          <w:rFonts w:eastAsia="方正仿宋_GBK"/>
          <w:bCs/>
          <w:color w:val="000000"/>
          <w:sz w:val="32"/>
          <w:szCs w:val="32"/>
        </w:rPr>
        <w:t>二</w:t>
      </w:r>
      <w:r>
        <w:rPr>
          <w:rFonts w:hint="eastAsia" w:eastAsia="方正仿宋_GBK"/>
          <w:bCs/>
          <w:color w:val="000000"/>
          <w:sz w:val="32"/>
          <w:szCs w:val="32"/>
        </w:rPr>
        <w:t>项规定</w:t>
      </w:r>
      <w:r>
        <w:rPr>
          <w:rFonts w:eastAsia="方正仿宋_GBK"/>
          <w:bCs/>
          <w:color w:val="000000"/>
          <w:sz w:val="32"/>
          <w:szCs w:val="32"/>
        </w:rPr>
        <w:t>处理的。</w:t>
      </w:r>
    </w:p>
    <w:p>
      <w:pPr>
        <w:spacing w:line="560" w:lineRule="exact"/>
        <w:ind w:firstLine="632" w:firstLineChars="200"/>
        <w:rPr>
          <w:bCs/>
          <w:color w:val="000000"/>
          <w:szCs w:val="32"/>
        </w:rPr>
      </w:pPr>
      <w:r>
        <w:rPr>
          <w:bCs/>
          <w:color w:val="000000"/>
          <w:szCs w:val="32"/>
        </w:rPr>
        <w:t>（七）适用《中华人民共和国海关行政处罚实施条例》第十八条规定处理，未影响国家有关进出境的禁止性管理、出口退税管理、税款征收和许可证件管理的</w:t>
      </w:r>
      <w:r>
        <w:rPr>
          <w:rFonts w:hint="eastAsia"/>
          <w:bCs/>
          <w:color w:val="000000"/>
          <w:szCs w:val="32"/>
        </w:rPr>
        <w:t>违反海关规定</w:t>
      </w:r>
      <w:r>
        <w:rPr>
          <w:bCs/>
          <w:color w:val="000000"/>
          <w:szCs w:val="32"/>
        </w:rPr>
        <w:t>行为的。</w:t>
      </w:r>
    </w:p>
    <w:p>
      <w:pPr>
        <w:spacing w:line="560" w:lineRule="exact"/>
        <w:ind w:firstLine="632" w:firstLineChars="200"/>
        <w:rPr>
          <w:bCs/>
          <w:color w:val="000000"/>
          <w:szCs w:val="32"/>
          <w:highlight w:val="yellow"/>
        </w:rPr>
      </w:pPr>
      <w:r>
        <w:rPr>
          <w:bCs/>
          <w:color w:val="000000"/>
          <w:szCs w:val="32"/>
        </w:rPr>
        <w:t>（</w:t>
      </w:r>
      <w:r>
        <w:rPr>
          <w:rFonts w:eastAsia="方正仿宋_GBK"/>
          <w:bCs/>
          <w:sz w:val="32"/>
          <w:szCs w:val="32"/>
        </w:rPr>
        <w:t>八</w:t>
      </w:r>
      <w:r>
        <w:rPr>
          <w:bCs/>
          <w:color w:val="000000"/>
          <w:szCs w:val="32"/>
        </w:rPr>
        <w:t>）企业、单位违反海关检验检疫业务规定的行为，且能够及时办理海关手续，未造成危害后果的（见附件1）。但涉及检疫类事项，以及检验类涉及安全、环保、卫生类事项的除外。</w:t>
      </w:r>
    </w:p>
    <w:p>
      <w:pPr>
        <w:spacing w:line="560" w:lineRule="exact"/>
        <w:ind w:firstLine="632" w:firstLineChars="200"/>
        <w:rPr>
          <w:rFonts w:eastAsia="方正仿宋_GBK"/>
          <w:color w:val="000000"/>
          <w:szCs w:val="32"/>
        </w:rPr>
      </w:pPr>
      <w:r>
        <w:rPr>
          <w:bCs/>
          <w:color w:val="000000"/>
          <w:szCs w:val="32"/>
        </w:rPr>
        <w:t>二</w:t>
      </w:r>
      <w:r>
        <w:rPr>
          <w:rFonts w:eastAsia="方正仿宋_GBK"/>
          <w:color w:val="000000"/>
          <w:szCs w:val="32"/>
        </w:rPr>
        <w:t>、进出口企业、单位主动向海关书面报告其涉税违规行为并及时改正，经海关认定为主动披露的，进出口企业、单位可依法向海关申请减免税款滞纳金。</w:t>
      </w:r>
      <w:r>
        <w:rPr>
          <w:rFonts w:hint="eastAsia"/>
          <w:color w:val="000000"/>
          <w:szCs w:val="32"/>
        </w:rPr>
        <w:t>符合规定的，海关予以减免。</w:t>
      </w:r>
    </w:p>
    <w:p>
      <w:pPr>
        <w:pStyle w:val="52"/>
        <w:spacing w:line="560" w:lineRule="exact"/>
        <w:ind w:firstLine="632" w:firstLineChars="200"/>
        <w:rPr>
          <w:rFonts w:eastAsia="方正仿宋_GBK"/>
          <w:color w:val="000000"/>
          <w:szCs w:val="32"/>
        </w:rPr>
      </w:pPr>
      <w:r>
        <w:rPr>
          <w:rFonts w:eastAsia="方正仿宋_GBK"/>
          <w:color w:val="000000"/>
          <w:szCs w:val="32"/>
        </w:rPr>
        <w:t>三、进出口企业、单位主动披露且被海关处以警告或者100万元以下罚款行政处罚的行为，不列入海关认定企业信用状况的记录。高级认证企业主动披露违反海关规定行为的，海关立案调查期间不暂停对该企业适用相应管理措施。但检验类涉及安全、环保、卫生类事项的除外。</w:t>
      </w:r>
    </w:p>
    <w:p>
      <w:pPr>
        <w:pStyle w:val="52"/>
        <w:spacing w:line="560" w:lineRule="exact"/>
        <w:ind w:firstLine="632" w:firstLineChars="200"/>
        <w:rPr>
          <w:bCs/>
          <w:color w:val="000000"/>
          <w:szCs w:val="32"/>
        </w:rPr>
      </w:pPr>
      <w:r>
        <w:rPr>
          <w:rFonts w:eastAsia="方正仿宋_GBK"/>
          <w:color w:val="000000"/>
          <w:szCs w:val="32"/>
        </w:rPr>
        <w:t>四</w:t>
      </w:r>
      <w:r>
        <w:rPr>
          <w:bCs/>
          <w:color w:val="000000"/>
          <w:szCs w:val="32"/>
        </w:rPr>
        <w:t>、进出口企业、单位对同一违反海关规定行为（指性质相同且违反同一法律条文同一款项规定的行为）一年内第二次及以上向海关主动披露的，不予适用本公告有关规定。</w:t>
      </w:r>
    </w:p>
    <w:p>
      <w:pPr>
        <w:spacing w:line="560" w:lineRule="exact"/>
        <w:ind w:firstLine="632" w:firstLineChars="200"/>
        <w:rPr>
          <w:bCs/>
          <w:color w:val="000000"/>
          <w:szCs w:val="32"/>
        </w:rPr>
      </w:pPr>
      <w:r>
        <w:rPr>
          <w:rFonts w:hint="eastAsia"/>
          <w:bCs/>
          <w:color w:val="000000"/>
          <w:szCs w:val="32"/>
        </w:rPr>
        <w:t>涉及授权人对被授权人基于同一货物进行的一次或多次权利许可，进出口企业、单位再次向海关主动披露的，不予适用本公告有关规定。</w:t>
      </w:r>
    </w:p>
    <w:p>
      <w:pPr>
        <w:spacing w:line="560" w:lineRule="exact"/>
        <w:ind w:firstLine="632" w:firstLineChars="200"/>
        <w:rPr>
          <w:color w:val="000000"/>
          <w:szCs w:val="32"/>
        </w:rPr>
      </w:pPr>
      <w:r>
        <w:rPr>
          <w:bCs/>
          <w:color w:val="000000"/>
          <w:szCs w:val="32"/>
        </w:rPr>
        <w:t>五</w:t>
      </w:r>
      <w:r>
        <w:rPr>
          <w:color w:val="000000"/>
          <w:szCs w:val="32"/>
        </w:rPr>
        <w:t>、进出口企业、单位向海关主动披露的，需填制《主动披露报告表》（见附件2），并随附账簿、单证等材料，向报关地、实际进出口地或注册地海关报告。</w:t>
      </w:r>
    </w:p>
    <w:p>
      <w:pPr>
        <w:spacing w:line="560" w:lineRule="exact"/>
        <w:ind w:firstLine="632" w:firstLineChars="200"/>
        <w:rPr>
          <w:color w:val="000000"/>
          <w:szCs w:val="32"/>
        </w:rPr>
      </w:pPr>
      <w:r>
        <w:rPr>
          <w:color w:val="000000"/>
          <w:szCs w:val="32"/>
        </w:rPr>
        <w:t>本公告有效期自2023年8月1日起至2025年7月31日。海关总署公告2022年第54号同时废止。</w:t>
      </w:r>
    </w:p>
    <w:p>
      <w:pPr>
        <w:spacing w:line="560" w:lineRule="exact"/>
        <w:ind w:firstLine="632" w:firstLineChars="200"/>
        <w:rPr>
          <w:color w:val="000000"/>
          <w:szCs w:val="32"/>
        </w:rPr>
      </w:pPr>
      <w:r>
        <w:rPr>
          <w:color w:val="000000"/>
          <w:szCs w:val="32"/>
        </w:rPr>
        <w:t>特此公告。</w:t>
      </w:r>
    </w:p>
    <w:p>
      <w:pPr>
        <w:spacing w:line="640" w:lineRule="exact"/>
        <w:ind w:left="0"/>
        <w:rPr>
          <w:color w:val="000000"/>
          <w:szCs w:val="32"/>
        </w:rPr>
      </w:pPr>
    </w:p>
    <w:p>
      <w:pPr>
        <w:spacing w:line="640" w:lineRule="exact"/>
        <w:ind w:left="0"/>
        <w:rPr>
          <w:color w:val="000000"/>
          <w:szCs w:val="32"/>
        </w:rPr>
      </w:pPr>
    </w:p>
    <w:p>
      <w:pPr>
        <w:spacing w:line="640" w:lineRule="exact"/>
        <w:ind w:left="0"/>
        <w:rPr>
          <w:color w:val="000000"/>
          <w:szCs w:val="32"/>
        </w:rPr>
      </w:pPr>
    </w:p>
    <w:p>
      <w:pPr>
        <w:spacing w:line="640" w:lineRule="exact"/>
        <w:ind w:left="0"/>
        <w:rPr>
          <w:color w:val="000000"/>
          <w:szCs w:val="32"/>
        </w:rPr>
      </w:pPr>
    </w:p>
    <w:p>
      <w:pPr>
        <w:spacing w:line="640" w:lineRule="exact"/>
        <w:ind w:left="0"/>
        <w:rPr>
          <w:color w:val="000000"/>
          <w:szCs w:val="32"/>
        </w:rPr>
      </w:pPr>
    </w:p>
    <w:p>
      <w:pPr>
        <w:spacing w:line="640" w:lineRule="exact"/>
        <w:ind w:left="0"/>
        <w:rPr>
          <w:color w:val="000000"/>
          <w:szCs w:val="32"/>
        </w:rPr>
      </w:pPr>
    </w:p>
    <w:p>
      <w:pPr>
        <w:spacing w:line="640" w:lineRule="exact"/>
        <w:ind w:left="0"/>
        <w:rPr>
          <w:color w:val="000000"/>
          <w:szCs w:val="32"/>
        </w:rPr>
      </w:pPr>
    </w:p>
    <w:p>
      <w:pPr>
        <w:spacing w:line="640" w:lineRule="exact"/>
        <w:ind w:left="0"/>
        <w:rPr>
          <w:rFonts w:ascii="方正黑体_GBK" w:eastAsia="方正黑体_GBK" w:cs="黑体"/>
          <w:sz w:val="32"/>
          <w:szCs w:val="32"/>
          <w:lang w:bidi="ar-SA"/>
        </w:rPr>
      </w:pPr>
      <w:r>
        <w:rPr>
          <w:rFonts w:hint="eastAsia" w:ascii="方正黑体_GBK" w:eastAsia="方正黑体_GBK" w:cs="黑体"/>
          <w:szCs w:val="32"/>
        </w:rPr>
        <w:t>附件</w:t>
      </w:r>
      <w:r>
        <w:rPr>
          <w:rFonts w:hint="eastAsia" w:ascii="方正黑体_GBK" w:eastAsia="方正黑体_GBK"/>
          <w:color w:val="000000"/>
          <w:szCs w:val="32"/>
        </w:rPr>
        <w:t>1</w:t>
      </w:r>
    </w:p>
    <w:tbl>
      <w:tblPr>
        <w:tblStyle w:val="11"/>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2831"/>
        <w:gridCol w:w="4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97"/>
              <w:jc w:val="center"/>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序号</w:t>
            </w:r>
          </w:p>
        </w:tc>
        <w:tc>
          <w:tcPr>
            <w:tcW w:w="2831" w:type="dxa"/>
            <w:vAlign w:val="center"/>
          </w:tcPr>
          <w:p>
            <w:pPr>
              <w:pStyle w:val="96"/>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违法行为</w:t>
            </w:r>
          </w:p>
        </w:tc>
        <w:tc>
          <w:tcPr>
            <w:tcW w:w="4653" w:type="dxa"/>
            <w:vAlign w:val="center"/>
          </w:tcPr>
          <w:p>
            <w:pPr>
              <w:pStyle w:val="95"/>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适用条件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pStyle w:val="94"/>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p>
        </w:tc>
        <w:tc>
          <w:tcPr>
            <w:tcW w:w="2831" w:type="dxa"/>
            <w:tcBorders>
              <w:left w:val="single" w:color="000000" w:sz="4" w:space="0"/>
              <w:right w:val="single" w:color="000000" w:sz="4" w:space="0"/>
            </w:tcBorders>
            <w:vAlign w:val="center"/>
          </w:tcPr>
          <w:p>
            <w:pPr>
              <w:pStyle w:val="93"/>
              <w:spacing w:line="3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未经海关允许，将进口食品提离海关指定或者认可的场所</w:t>
            </w:r>
          </w:p>
        </w:tc>
        <w:tc>
          <w:tcPr>
            <w:tcW w:w="4653" w:type="dxa"/>
            <w:tcBorders>
              <w:left w:val="single" w:color="000000" w:sz="4" w:space="0"/>
              <w:right w:val="single" w:color="000000" w:sz="4" w:space="0"/>
            </w:tcBorders>
            <w:vAlign w:val="center"/>
          </w:tcPr>
          <w:p>
            <w:pPr>
              <w:pStyle w:val="91"/>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应同时符合下列情形的：</w:t>
            </w:r>
          </w:p>
          <w:p>
            <w:pPr>
              <w:pStyle w:val="91"/>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1、提离的食品经检验检疫合格；</w:t>
            </w:r>
          </w:p>
          <w:p>
            <w:pPr>
              <w:pStyle w:val="92"/>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2、违规食品尚未销售、使用。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pStyle w:val="9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c>
          <w:tcPr>
            <w:tcW w:w="2831" w:type="dxa"/>
            <w:tcBorders>
              <w:left w:val="single" w:color="000000" w:sz="4" w:space="0"/>
              <w:right w:val="single" w:color="000000" w:sz="4" w:space="0"/>
            </w:tcBorders>
            <w:vAlign w:val="center"/>
          </w:tcPr>
          <w:p>
            <w:pPr>
              <w:pStyle w:val="89"/>
              <w:spacing w:line="3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出口未获得备案出口食品生产企业生产的食品的</w:t>
            </w:r>
          </w:p>
        </w:tc>
        <w:tc>
          <w:tcPr>
            <w:tcW w:w="4653" w:type="dxa"/>
            <w:tcBorders>
              <w:left w:val="single" w:color="000000" w:sz="4" w:space="0"/>
              <w:right w:val="single" w:color="000000" w:sz="4" w:space="0"/>
            </w:tcBorders>
            <w:vAlign w:val="center"/>
          </w:tcPr>
          <w:p>
            <w:pPr>
              <w:pStyle w:val="87"/>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应同时符合下列情形的：</w:t>
            </w:r>
          </w:p>
          <w:p>
            <w:pPr>
              <w:pStyle w:val="87"/>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1、食品来自于国内食品生产许可企业：</w:t>
            </w:r>
          </w:p>
          <w:p>
            <w:pPr>
              <w:pStyle w:val="87"/>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2、食品生产企业在主动披露前，完成备案的；</w:t>
            </w:r>
          </w:p>
          <w:p>
            <w:pPr>
              <w:pStyle w:val="88"/>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 违法食品价值不满人民币1万元的。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pStyle w:val="86"/>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p>
        </w:tc>
        <w:tc>
          <w:tcPr>
            <w:tcW w:w="2831" w:type="dxa"/>
            <w:tcBorders>
              <w:left w:val="single" w:color="000000" w:sz="4" w:space="0"/>
              <w:right w:val="single" w:color="000000" w:sz="4" w:space="0"/>
            </w:tcBorders>
            <w:vAlign w:val="center"/>
          </w:tcPr>
          <w:p>
            <w:pPr>
              <w:pStyle w:val="85"/>
              <w:spacing w:line="3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出口食品生产企业生产的出口食品未按照规定使用备案种植、养殖场原料</w:t>
            </w:r>
          </w:p>
        </w:tc>
        <w:tc>
          <w:tcPr>
            <w:tcW w:w="4653" w:type="dxa"/>
            <w:tcBorders>
              <w:left w:val="single" w:color="000000" w:sz="4" w:space="0"/>
              <w:right w:val="single" w:color="000000" w:sz="4" w:space="0"/>
            </w:tcBorders>
            <w:vAlign w:val="center"/>
          </w:tcPr>
          <w:p>
            <w:pPr>
              <w:pStyle w:val="83"/>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应同时符合下列情形的：</w:t>
            </w:r>
          </w:p>
          <w:p>
            <w:pPr>
              <w:pStyle w:val="83"/>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1、食品无质量安全问题；</w:t>
            </w:r>
          </w:p>
          <w:p>
            <w:pPr>
              <w:pStyle w:val="83"/>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2、未发生食品安全事故；</w:t>
            </w:r>
          </w:p>
          <w:p>
            <w:pPr>
              <w:pStyle w:val="83"/>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3、未被境外主管机构通报；</w:t>
            </w:r>
          </w:p>
          <w:p>
            <w:pPr>
              <w:pStyle w:val="84"/>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4、违法食品价值不满人民币1万元的。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pStyle w:val="82"/>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p>
        </w:tc>
        <w:tc>
          <w:tcPr>
            <w:tcW w:w="2831" w:type="dxa"/>
            <w:tcBorders>
              <w:left w:val="single" w:color="000000" w:sz="4" w:space="0"/>
              <w:right w:val="single" w:color="000000" w:sz="4" w:space="0"/>
            </w:tcBorders>
            <w:vAlign w:val="center"/>
          </w:tcPr>
          <w:p>
            <w:pPr>
              <w:pStyle w:val="81"/>
              <w:tabs>
                <w:tab w:val="left" w:pos="85"/>
              </w:tabs>
              <w:spacing w:line="3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出境竹木草制品未报检</w:t>
            </w:r>
          </w:p>
        </w:tc>
        <w:tc>
          <w:tcPr>
            <w:tcW w:w="4653" w:type="dxa"/>
            <w:tcBorders>
              <w:left w:val="single" w:color="000000" w:sz="4" w:space="0"/>
              <w:right w:val="single" w:color="000000" w:sz="4" w:space="0"/>
            </w:tcBorders>
            <w:vAlign w:val="center"/>
          </w:tcPr>
          <w:p>
            <w:pPr>
              <w:pStyle w:val="80"/>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应同时符合下列情形的：</w:t>
            </w:r>
          </w:p>
          <w:p>
            <w:pPr>
              <w:pStyle w:val="80"/>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1、违规竹木草制品尚未实际出口；</w:t>
            </w:r>
          </w:p>
          <w:p>
            <w:pPr>
              <w:pStyle w:val="80"/>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2、违规竹木草制品能完成补充检验检疫的；</w:t>
            </w:r>
          </w:p>
          <w:p>
            <w:pPr>
              <w:pStyle w:val="80"/>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3、违规竹木草制品经检验检疫合格的。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pStyle w:val="79"/>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p>
        </w:tc>
        <w:tc>
          <w:tcPr>
            <w:tcW w:w="2831" w:type="dxa"/>
            <w:tcBorders>
              <w:left w:val="single" w:color="000000" w:sz="4" w:space="0"/>
              <w:right w:val="single" w:color="000000" w:sz="4" w:space="0"/>
            </w:tcBorders>
            <w:vAlign w:val="center"/>
          </w:tcPr>
          <w:p>
            <w:pPr>
              <w:pStyle w:val="78"/>
              <w:tabs>
                <w:tab w:val="left" w:pos="85"/>
              </w:tabs>
              <w:spacing w:line="3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出境竹木草制品报检与实际不符</w:t>
            </w:r>
          </w:p>
        </w:tc>
        <w:tc>
          <w:tcPr>
            <w:tcW w:w="4653" w:type="dxa"/>
            <w:tcBorders>
              <w:left w:val="single" w:color="000000" w:sz="4" w:space="0"/>
              <w:right w:val="single" w:color="000000" w:sz="4" w:space="0"/>
            </w:tcBorders>
            <w:vAlign w:val="center"/>
          </w:tcPr>
          <w:p>
            <w:pPr>
              <w:pStyle w:val="75"/>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应同时符合下列情形的：</w:t>
            </w:r>
          </w:p>
          <w:p>
            <w:pPr>
              <w:pStyle w:val="76"/>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1、违规竹木草制品尚未实际出口；</w:t>
            </w:r>
          </w:p>
          <w:p>
            <w:pPr>
              <w:pStyle w:val="76"/>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2、违规竹木草制品能完成补充检验检疫的；</w:t>
            </w:r>
          </w:p>
          <w:p>
            <w:pPr>
              <w:pStyle w:val="77"/>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3、违规竹木草制品经检验检疫合格的。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2" w:hRule="atLeast"/>
        </w:trPr>
        <w:tc>
          <w:tcPr>
            <w:tcW w:w="1413" w:type="dxa"/>
            <w:tcBorders>
              <w:left w:val="single" w:color="000000" w:sz="4" w:space="0"/>
              <w:right w:val="single" w:color="000000" w:sz="4" w:space="0"/>
            </w:tcBorders>
            <w:vAlign w:val="center"/>
          </w:tcPr>
          <w:p>
            <w:pPr>
              <w:pStyle w:val="64"/>
              <w:tabs>
                <w:tab w:val="left" w:pos="85"/>
              </w:tabs>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p>
        </w:tc>
        <w:tc>
          <w:tcPr>
            <w:tcW w:w="1413" w:type="dxa"/>
            <w:tcBorders>
              <w:left w:val="single" w:color="000000" w:sz="4" w:space="0"/>
              <w:right w:val="single" w:color="000000" w:sz="4" w:space="0"/>
            </w:tcBorders>
            <w:vAlign w:val="center"/>
          </w:tcPr>
          <w:p>
            <w:pPr>
              <w:pStyle w:val="64"/>
              <w:tabs>
                <w:tab w:val="left" w:pos="85"/>
              </w:tabs>
              <w:spacing w:line="3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代理报检企业、出入境快件运营企业、报检人员未进行合理审查或工作疏忽导致骗取证单</w:t>
            </w:r>
          </w:p>
        </w:tc>
        <w:tc>
          <w:tcPr>
            <w:tcW w:w="2831" w:type="dxa"/>
            <w:tcBorders>
              <w:left w:val="single" w:color="000000" w:sz="4" w:space="0"/>
              <w:right w:val="single" w:color="000000" w:sz="4" w:space="0"/>
            </w:tcBorders>
            <w:vAlign w:val="center"/>
          </w:tcPr>
          <w:p>
            <w:pPr>
              <w:pStyle w:val="62"/>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应同时符合下列情形的：</w:t>
            </w:r>
          </w:p>
          <w:p>
            <w:pPr>
              <w:pStyle w:val="63"/>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1、所涉证单尚未使用</w:t>
            </w:r>
          </w:p>
          <w:p>
            <w:pPr>
              <w:pStyle w:val="63"/>
              <w:spacing w:line="3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2、主动向海关退回证单的。</w:t>
            </w:r>
          </w:p>
        </w:tc>
      </w:tr>
    </w:tbl>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ascii="方正黑体_GBK" w:eastAsia="方正黑体_GBK" w:cs="黑体"/>
          <w:sz w:val="32"/>
          <w:szCs w:val="32"/>
          <w:lang w:bidi="ar-SA"/>
        </w:rPr>
      </w:pPr>
    </w:p>
    <w:p>
      <w:pPr>
        <w:pStyle w:val="55"/>
        <w:adjustRightInd w:val="0"/>
        <w:snapToGrid w:val="0"/>
        <w:rPr>
          <w:rFonts w:hint="eastAsia" w:ascii="宋体" w:cs="黑体"/>
          <w:b/>
          <w:sz w:val="32"/>
          <w:szCs w:val="32"/>
          <w:lang w:bidi="ar-SA"/>
        </w:rPr>
      </w:pPr>
      <w:r>
        <w:rPr>
          <w:rFonts w:hint="eastAsia" w:ascii="方正黑体_GBK" w:eastAsia="方正黑体_GBK" w:cs="黑体"/>
          <w:sz w:val="32"/>
          <w:szCs w:val="32"/>
          <w:lang w:bidi="ar-SA"/>
        </w:rPr>
        <w:t>附件</w:t>
      </w:r>
      <w:r>
        <w:rPr>
          <w:rFonts w:ascii="方正黑体_GBK" w:eastAsia="方正黑体_GBK" w:cs="黑体"/>
          <w:sz w:val="32"/>
          <w:szCs w:val="32"/>
          <w:lang w:bidi="ar-SA"/>
        </w:rPr>
        <w:t>2</w:t>
      </w:r>
    </w:p>
    <w:p>
      <w:pPr>
        <w:pStyle w:val="55"/>
        <w:adjustRightInd w:val="0"/>
        <w:snapToGrid w:val="0"/>
        <w:jc w:val="center"/>
        <w:rPr>
          <w:rFonts w:hint="eastAsia" w:ascii="方正小标宋_GBK" w:eastAsia="方正小标宋_GBK"/>
          <w:b/>
          <w:sz w:val="44"/>
          <w:szCs w:val="44"/>
        </w:rPr>
      </w:pPr>
      <w:r>
        <w:rPr>
          <w:rFonts w:hint="eastAsia" w:ascii="方正小标宋_GBK" w:eastAsia="方正小标宋_GBK" w:cs="黑体"/>
          <w:b/>
          <w:sz w:val="44"/>
          <w:szCs w:val="44"/>
          <w:lang w:bidi="ar-SA"/>
        </w:rPr>
        <w:t>主动披露报告表</w:t>
      </w:r>
    </w:p>
    <w:p>
      <w:pPr>
        <w:pStyle w:val="55"/>
        <w:snapToGrid w:val="0"/>
        <w:spacing w:line="560" w:lineRule="exact"/>
        <w:ind w:left="-420" w:firstLine="0"/>
        <w:rPr>
          <w:rFonts w:hint="eastAsia" w:ascii="宋体" w:cs="仿宋_GB2312"/>
          <w:sz w:val="32"/>
          <w:szCs w:val="32"/>
          <w:lang w:bidi="ar-SA"/>
        </w:rPr>
      </w:pPr>
      <w:r>
        <w:rPr>
          <w:rFonts w:hint="eastAsia" w:ascii="宋体" w:cs="仿宋_GB2312"/>
          <w:sz w:val="32"/>
          <w:szCs w:val="32"/>
          <w:u w:val="single"/>
          <w:lang w:bidi="ar-SA"/>
        </w:rPr>
        <w:t xml:space="preserve">              </w:t>
      </w:r>
      <w:r>
        <w:rPr>
          <w:rFonts w:hint="eastAsia" w:ascii="宋体" w:cs="仿宋_GB2312"/>
          <w:sz w:val="32"/>
          <w:szCs w:val="32"/>
          <w:lang w:bidi="ar-SA"/>
        </w:rPr>
        <w:t>海关：</w:t>
      </w:r>
    </w:p>
    <w:p>
      <w:pPr>
        <w:pStyle w:val="55"/>
        <w:snapToGrid w:val="0"/>
        <w:spacing w:line="560" w:lineRule="exact"/>
        <w:ind w:left="-420" w:firstLine="632" w:firstLineChars="200"/>
        <w:rPr>
          <w:rFonts w:hint="eastAsia" w:ascii="宋体" w:cs="仿宋_GB2312"/>
          <w:sz w:val="32"/>
          <w:szCs w:val="32"/>
          <w:lang w:bidi="ar-SA"/>
        </w:rPr>
      </w:pPr>
      <w:r>
        <w:rPr>
          <w:rFonts w:hint="eastAsia" w:ascii="宋体" w:cs="仿宋_GB2312"/>
          <w:sz w:val="32"/>
          <w:szCs w:val="32"/>
          <w:lang w:bidi="ar-SA"/>
        </w:rPr>
        <w:t>经自查，发现我企业/单位存在</w:t>
      </w:r>
      <w:r>
        <w:rPr>
          <w:rFonts w:hint="eastAsia" w:ascii="宋体" w:cs="仿宋_GB2312"/>
          <w:sz w:val="32"/>
          <w:szCs w:val="32"/>
          <w:u w:val="single" w:color="auto"/>
          <w:lang w:bidi="ar-SA"/>
        </w:rPr>
        <w:t xml:space="preserve">                        </w:t>
      </w:r>
      <w:r>
        <w:rPr>
          <w:rFonts w:hint="eastAsia" w:ascii="宋体" w:cs="仿宋_GB2312"/>
          <w:sz w:val="32"/>
          <w:szCs w:val="32"/>
          <w:lang w:bidi="ar-SA"/>
        </w:rPr>
        <w:t>违反海关规定的情形，现报告如下：</w:t>
      </w:r>
    </w:p>
    <w:tbl>
      <w:tblPr>
        <w:tblStyle w:val="11"/>
        <w:tblW w:w="96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07"/>
        <w:gridCol w:w="2736"/>
        <w:gridCol w:w="2292"/>
        <w:gridCol w:w="2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07" w:type="dxa"/>
            <w:tcBorders>
              <w:top w:val="single" w:color="auto" w:sz="4" w:space="0"/>
              <w:left w:val="single" w:color="auto" w:sz="8" w:space="0"/>
              <w:bottom w:val="single" w:color="auto" w:sz="4" w:space="0"/>
              <w:right w:val="single" w:color="auto" w:sz="4" w:space="0"/>
              <w:tl2br w:val="nil"/>
              <w:tr2bl w:val="nil"/>
            </w:tcBorders>
            <w:shd w:val="clear" w:color="auto" w:fill="auto"/>
            <w:noWrap/>
            <w:vAlign w:val="center"/>
          </w:tcPr>
          <w:p>
            <w:pPr>
              <w:pStyle w:val="55"/>
              <w:snapToGrid w:val="0"/>
              <w:rPr>
                <w:rFonts w:hint="eastAsia" w:ascii="宋体" w:cs="宋体"/>
                <w:color w:val="000000"/>
                <w:kern w:val="0"/>
                <w:sz w:val="28"/>
                <w:szCs w:val="28"/>
                <w:lang w:bidi="ar-SA"/>
              </w:rPr>
            </w:pPr>
            <w:r>
              <w:rPr>
                <w:rFonts w:hint="eastAsia" w:ascii="宋体" w:cs="宋体"/>
                <w:color w:val="000000"/>
                <w:kern w:val="0"/>
                <w:sz w:val="28"/>
                <w:szCs w:val="28"/>
                <w:lang w:bidi="ar-SA"/>
              </w:rPr>
              <w:t>企业/单位名称</w:t>
            </w:r>
          </w:p>
        </w:tc>
        <w:tc>
          <w:tcPr>
            <w:tcW w:w="2736" w:type="dxa"/>
            <w:tcBorders>
              <w:top w:val="single" w:color="auto" w:sz="4" w:space="0"/>
              <w:left w:val="nil"/>
              <w:bottom w:val="single" w:color="auto" w:sz="4" w:space="0"/>
              <w:right w:val="single" w:color="auto" w:sz="4" w:space="0"/>
              <w:tl2br w:val="nil"/>
              <w:tr2bl w:val="nil"/>
            </w:tcBorders>
            <w:shd w:val="clear" w:color="auto" w:fill="auto"/>
            <w:noWrap/>
            <w:vAlign w:val="center"/>
          </w:tcPr>
          <w:p>
            <w:pPr>
              <w:pStyle w:val="55"/>
              <w:widowControl/>
              <w:snapToGrid w:val="0"/>
              <w:rPr>
                <w:rFonts w:hint="eastAsia" w:ascii="宋体" w:cs="宋体"/>
                <w:color w:val="000000"/>
                <w:kern w:val="0"/>
                <w:sz w:val="28"/>
                <w:szCs w:val="28"/>
                <w:lang w:bidi="ar-SA"/>
              </w:rPr>
            </w:pPr>
            <w:r>
              <w:rPr>
                <w:rFonts w:hint="eastAsia" w:ascii="宋体" w:cs="宋体"/>
                <w:color w:val="000000"/>
                <w:kern w:val="0"/>
                <w:sz w:val="28"/>
                <w:szCs w:val="28"/>
                <w:lang w:bidi="ar-SA"/>
              </w:rPr>
              <w:t xml:space="preserve"> 　</w:t>
            </w:r>
          </w:p>
        </w:tc>
        <w:tc>
          <w:tcPr>
            <w:tcW w:w="2292" w:type="dxa"/>
            <w:tcBorders>
              <w:top w:val="single" w:color="auto" w:sz="4" w:space="0"/>
              <w:left w:val="nil"/>
              <w:bottom w:val="single" w:color="auto" w:sz="4" w:space="0"/>
              <w:right w:val="single" w:color="auto" w:sz="4" w:space="0"/>
              <w:tl2br w:val="nil"/>
              <w:tr2bl w:val="nil"/>
            </w:tcBorders>
            <w:shd w:val="clear" w:color="auto" w:fill="auto"/>
            <w:noWrap/>
          </w:tcPr>
          <w:p>
            <w:pPr>
              <w:pStyle w:val="55"/>
              <w:widowControl/>
              <w:snapToGrid w:val="0"/>
              <w:jc w:val="left"/>
              <w:rPr>
                <w:rFonts w:hint="eastAsia" w:ascii="宋体" w:cs="宋体"/>
                <w:color w:val="000000"/>
                <w:kern w:val="0"/>
                <w:sz w:val="28"/>
                <w:szCs w:val="28"/>
                <w:lang w:bidi="ar-SA"/>
              </w:rPr>
            </w:pPr>
            <w:r>
              <w:rPr>
                <w:rFonts w:hint="eastAsia" w:ascii="宋体" w:cs="宋体"/>
                <w:color w:val="000000"/>
                <w:kern w:val="0"/>
                <w:sz w:val="28"/>
                <w:szCs w:val="28"/>
                <w:lang w:bidi="ar-SA"/>
              </w:rPr>
              <w:t>统一信用代码</w:t>
            </w:r>
          </w:p>
        </w:tc>
        <w:tc>
          <w:tcPr>
            <w:tcW w:w="2532" w:type="dxa"/>
            <w:tcBorders>
              <w:top w:val="single" w:color="auto" w:sz="4" w:space="0"/>
              <w:left w:val="nil"/>
              <w:bottom w:val="single" w:color="auto" w:sz="4" w:space="0"/>
              <w:right w:val="single" w:color="auto" w:sz="8" w:space="0"/>
              <w:tl2br w:val="nil"/>
              <w:tr2bl w:val="nil"/>
            </w:tcBorders>
            <w:shd w:val="clear" w:color="auto" w:fill="auto"/>
            <w:noWrap/>
            <w:vAlign w:val="center"/>
          </w:tcPr>
          <w:p>
            <w:pPr>
              <w:pStyle w:val="55"/>
              <w:widowControl/>
              <w:snapToGrid w:val="0"/>
              <w:jc w:val="center"/>
              <w:rPr>
                <w:rFonts w:hint="eastAsia" w:ascii="宋体" w:cs="宋体"/>
                <w:color w:val="000000"/>
                <w:kern w:val="0"/>
                <w:sz w:val="28"/>
                <w:szCs w:val="28"/>
                <w:lang w:bidi="ar-SA"/>
              </w:rPr>
            </w:pPr>
            <w:r>
              <w:rPr>
                <w:rFonts w:hint="eastAsia" w:ascii="宋体" w:cs="宋体"/>
                <w:color w:val="000000"/>
                <w:kern w:val="0"/>
                <w:sz w:val="28"/>
                <w:szCs w:val="2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07" w:type="dxa"/>
            <w:tcBorders>
              <w:top w:val="single" w:color="auto" w:sz="4" w:space="0"/>
              <w:left w:val="single" w:color="auto" w:sz="8" w:space="0"/>
              <w:bottom w:val="single" w:color="auto" w:sz="4" w:space="0"/>
              <w:right w:val="single" w:color="auto" w:sz="4" w:space="0"/>
              <w:tl2br w:val="nil"/>
              <w:tr2bl w:val="nil"/>
            </w:tcBorders>
            <w:shd w:val="clear" w:color="auto" w:fill="auto"/>
            <w:noWrap/>
            <w:vAlign w:val="center"/>
          </w:tcPr>
          <w:p>
            <w:pPr>
              <w:pStyle w:val="55"/>
              <w:widowControl/>
              <w:snapToGrid w:val="0"/>
              <w:rPr>
                <w:rFonts w:ascii="宋体" w:cs="宋体"/>
                <w:color w:val="000000"/>
                <w:kern w:val="0"/>
                <w:sz w:val="28"/>
                <w:szCs w:val="28"/>
                <w:lang w:bidi="ar-SA"/>
              </w:rPr>
            </w:pPr>
            <w:r>
              <w:rPr>
                <w:rFonts w:ascii="宋体" w:cs="宋体"/>
                <w:color w:val="000000"/>
                <w:kern w:val="0"/>
                <w:sz w:val="28"/>
                <w:szCs w:val="28"/>
                <w:lang w:bidi="ar-SA"/>
              </w:rPr>
              <w:t>企业海关注册编码</w:t>
            </w:r>
          </w:p>
        </w:tc>
        <w:tc>
          <w:tcPr>
            <w:tcW w:w="2736" w:type="dxa"/>
            <w:tcBorders>
              <w:top w:val="single" w:color="auto" w:sz="4" w:space="0"/>
              <w:left w:val="nil"/>
              <w:bottom w:val="single" w:color="auto" w:sz="4" w:space="0"/>
              <w:right w:val="single" w:color="auto" w:sz="4" w:space="0"/>
              <w:tl2br w:val="nil"/>
              <w:tr2bl w:val="nil"/>
            </w:tcBorders>
            <w:shd w:val="clear" w:color="auto" w:fill="auto"/>
            <w:noWrap/>
            <w:vAlign w:val="center"/>
          </w:tcPr>
          <w:p>
            <w:pPr>
              <w:pStyle w:val="55"/>
              <w:widowControl/>
              <w:snapToGrid w:val="0"/>
              <w:rPr>
                <w:rFonts w:ascii="宋体" w:cs="宋体"/>
                <w:color w:val="000000"/>
                <w:kern w:val="0"/>
                <w:sz w:val="28"/>
                <w:szCs w:val="28"/>
                <w:lang w:bidi="ar-SA"/>
              </w:rPr>
            </w:pPr>
          </w:p>
        </w:tc>
        <w:tc>
          <w:tcPr>
            <w:tcW w:w="2292" w:type="dxa"/>
            <w:tcBorders>
              <w:top w:val="nil"/>
              <w:left w:val="nil"/>
              <w:bottom w:val="single" w:color="auto" w:sz="4" w:space="0"/>
              <w:right w:val="single" w:color="auto" w:sz="4" w:space="0"/>
              <w:tl2br w:val="nil"/>
              <w:tr2bl w:val="nil"/>
            </w:tcBorders>
            <w:shd w:val="clear" w:color="auto" w:fill="auto"/>
            <w:noWrap/>
            <w:vAlign w:val="center"/>
          </w:tcPr>
          <w:p>
            <w:pPr>
              <w:pStyle w:val="55"/>
              <w:widowControl/>
              <w:snapToGrid w:val="0"/>
              <w:rPr>
                <w:rFonts w:ascii="宋体" w:cs="宋体"/>
                <w:color w:val="000000"/>
                <w:kern w:val="0"/>
                <w:sz w:val="28"/>
                <w:szCs w:val="28"/>
                <w:lang w:bidi="ar-SA"/>
              </w:rPr>
            </w:pPr>
            <w:r>
              <w:rPr>
                <w:rFonts w:hint="eastAsia" w:ascii="宋体" w:cs="宋体"/>
                <w:color w:val="000000"/>
                <w:kern w:val="0"/>
                <w:sz w:val="28"/>
                <w:szCs w:val="28"/>
                <w:lang w:bidi="ar-SA"/>
              </w:rPr>
              <w:t>信用等级</w:t>
            </w:r>
          </w:p>
        </w:tc>
        <w:tc>
          <w:tcPr>
            <w:tcW w:w="2532" w:type="dxa"/>
            <w:tcBorders>
              <w:top w:val="nil"/>
              <w:left w:val="nil"/>
              <w:bottom w:val="single" w:color="auto" w:sz="4" w:space="0"/>
              <w:right w:val="single" w:color="auto" w:sz="8" w:space="0"/>
              <w:tl2br w:val="nil"/>
              <w:tr2bl w:val="nil"/>
            </w:tcBorders>
            <w:shd w:val="clear" w:color="auto" w:fill="auto"/>
            <w:noWrap/>
            <w:vAlign w:val="center"/>
          </w:tcPr>
          <w:p>
            <w:pPr>
              <w:pStyle w:val="55"/>
              <w:widowControl/>
              <w:snapToGrid w:val="0"/>
              <w:jc w:val="center"/>
              <w:rPr>
                <w:rFonts w:ascii="宋体" w:cs="宋体"/>
                <w:color w:val="000000"/>
                <w:kern w:val="0"/>
                <w:sz w:val="28"/>
                <w:szCs w:val="28"/>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2107" w:type="dxa"/>
            <w:tcBorders>
              <w:top w:val="single" w:color="auto" w:sz="4" w:space="0"/>
              <w:left w:val="single" w:color="auto" w:sz="8" w:space="0"/>
              <w:bottom w:val="single" w:color="auto" w:sz="4" w:space="0"/>
              <w:right w:val="single" w:color="auto" w:sz="4" w:space="0"/>
              <w:tl2br w:val="nil"/>
              <w:tr2bl w:val="nil"/>
            </w:tcBorders>
            <w:shd w:val="clear" w:color="auto" w:fill="auto"/>
            <w:noWrap/>
            <w:vAlign w:val="center"/>
          </w:tcPr>
          <w:p>
            <w:pPr>
              <w:pStyle w:val="55"/>
              <w:widowControl/>
              <w:snapToGrid w:val="0"/>
              <w:rPr>
                <w:rFonts w:hint="eastAsia" w:ascii="宋体" w:cs="宋体"/>
                <w:color w:val="000000"/>
                <w:kern w:val="0"/>
                <w:sz w:val="28"/>
                <w:szCs w:val="28"/>
                <w:lang w:bidi="ar-SA"/>
              </w:rPr>
            </w:pPr>
            <w:r>
              <w:rPr>
                <w:rFonts w:hint="eastAsia" w:ascii="宋体" w:cs="宋体"/>
                <w:color w:val="000000"/>
                <w:kern w:val="0"/>
                <w:sz w:val="28"/>
                <w:szCs w:val="28"/>
                <w:lang w:bidi="ar-SA"/>
              </w:rPr>
              <w:t>注册地址</w:t>
            </w:r>
          </w:p>
        </w:tc>
        <w:tc>
          <w:tcPr>
            <w:tcW w:w="7560" w:type="dxa"/>
            <w:gridSpan w:val="3"/>
            <w:tcBorders>
              <w:top w:val="single" w:color="auto" w:sz="4" w:space="0"/>
              <w:left w:val="nil"/>
              <w:bottom w:val="single" w:color="auto" w:sz="4" w:space="0"/>
              <w:right w:val="single" w:color="auto" w:sz="8" w:space="0"/>
              <w:tl2br w:val="nil"/>
              <w:tr2bl w:val="nil"/>
            </w:tcBorders>
            <w:shd w:val="clear" w:color="auto" w:fill="auto"/>
            <w:noWrap/>
            <w:vAlign w:val="center"/>
          </w:tcPr>
          <w:p>
            <w:pPr>
              <w:pStyle w:val="57"/>
              <w:widowControl/>
              <w:snapToGrid w:val="0"/>
              <w:rPr>
                <w:rFonts w:hint="eastAsia" w:ascii="宋体" w:cs="宋体"/>
                <w:color w:val="000000"/>
                <w:kern w:val="0"/>
                <w:sz w:val="28"/>
                <w:szCs w:val="28"/>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07" w:type="dxa"/>
            <w:tcBorders>
              <w:top w:val="single" w:color="auto" w:sz="4" w:space="0"/>
              <w:left w:val="single" w:color="auto" w:sz="8" w:space="0"/>
              <w:bottom w:val="single" w:color="auto" w:sz="4" w:space="0"/>
              <w:right w:val="single" w:color="auto" w:sz="4" w:space="0"/>
              <w:tl2br w:val="nil"/>
              <w:tr2bl w:val="nil"/>
            </w:tcBorders>
            <w:shd w:val="clear" w:color="auto" w:fill="auto"/>
            <w:noWrap/>
            <w:vAlign w:val="center"/>
          </w:tcPr>
          <w:p>
            <w:pPr>
              <w:pStyle w:val="55"/>
              <w:widowControl/>
              <w:snapToGrid w:val="0"/>
              <w:rPr>
                <w:rFonts w:hint="eastAsia" w:ascii="宋体" w:cs="宋体"/>
                <w:color w:val="000000"/>
                <w:kern w:val="0"/>
                <w:sz w:val="28"/>
                <w:szCs w:val="28"/>
                <w:lang w:bidi="ar-SA"/>
              </w:rPr>
            </w:pPr>
            <w:r>
              <w:rPr>
                <w:rFonts w:hint="eastAsia" w:ascii="宋体" w:cs="宋体"/>
                <w:color w:val="000000"/>
                <w:kern w:val="0"/>
                <w:sz w:val="28"/>
                <w:szCs w:val="28"/>
                <w:lang w:bidi="ar-SA"/>
              </w:rPr>
              <w:t>联系人及电话</w:t>
            </w:r>
          </w:p>
        </w:tc>
        <w:tc>
          <w:tcPr>
            <w:tcW w:w="2736" w:type="dxa"/>
            <w:tcBorders>
              <w:top w:val="single" w:color="auto" w:sz="4" w:space="0"/>
              <w:left w:val="nil"/>
              <w:bottom w:val="single" w:color="auto" w:sz="4" w:space="0"/>
              <w:right w:val="single" w:color="auto" w:sz="4" w:space="0"/>
              <w:tl2br w:val="nil"/>
              <w:tr2bl w:val="nil"/>
            </w:tcBorders>
            <w:shd w:val="clear" w:color="auto" w:fill="auto"/>
            <w:noWrap/>
            <w:vAlign w:val="center"/>
          </w:tcPr>
          <w:p>
            <w:pPr>
              <w:pStyle w:val="55"/>
              <w:widowControl/>
              <w:snapToGrid w:val="0"/>
              <w:rPr>
                <w:rFonts w:hint="eastAsia" w:ascii="宋体" w:cs="宋体"/>
                <w:color w:val="000000"/>
                <w:kern w:val="0"/>
                <w:sz w:val="28"/>
                <w:szCs w:val="28"/>
                <w:lang w:bidi="ar-SA"/>
              </w:rPr>
            </w:pPr>
          </w:p>
        </w:tc>
        <w:tc>
          <w:tcPr>
            <w:tcW w:w="2292" w:type="dxa"/>
            <w:tcBorders>
              <w:top w:val="nil"/>
              <w:left w:val="nil"/>
              <w:bottom w:val="single" w:color="auto" w:sz="4" w:space="0"/>
              <w:right w:val="single" w:color="auto" w:sz="4" w:space="0"/>
              <w:tl2br w:val="nil"/>
              <w:tr2bl w:val="nil"/>
            </w:tcBorders>
            <w:shd w:val="clear" w:color="auto" w:fill="auto"/>
            <w:noWrap/>
            <w:vAlign w:val="center"/>
          </w:tcPr>
          <w:p>
            <w:pPr>
              <w:pStyle w:val="55"/>
              <w:widowControl/>
              <w:snapToGrid w:val="0"/>
              <w:rPr>
                <w:rFonts w:hint="eastAsia" w:ascii="宋体" w:cs="宋体"/>
                <w:color w:val="000000"/>
                <w:kern w:val="0"/>
                <w:sz w:val="28"/>
                <w:szCs w:val="28"/>
                <w:lang w:bidi="ar-SA"/>
              </w:rPr>
            </w:pPr>
            <w:r>
              <w:rPr>
                <w:rFonts w:hint="eastAsia" w:ascii="宋体" w:cs="宋体"/>
                <w:color w:val="000000"/>
                <w:kern w:val="0"/>
                <w:sz w:val="28"/>
                <w:szCs w:val="28"/>
                <w:lang w:bidi="ar-SA"/>
              </w:rPr>
              <w:t>联系人证件名称及证件号码</w:t>
            </w:r>
          </w:p>
        </w:tc>
        <w:tc>
          <w:tcPr>
            <w:tcW w:w="2532" w:type="dxa"/>
            <w:tcBorders>
              <w:top w:val="nil"/>
              <w:left w:val="nil"/>
              <w:bottom w:val="single" w:color="auto" w:sz="4" w:space="0"/>
              <w:right w:val="single" w:color="auto" w:sz="8" w:space="0"/>
              <w:tl2br w:val="nil"/>
              <w:tr2bl w:val="nil"/>
            </w:tcBorders>
            <w:shd w:val="clear" w:color="auto" w:fill="auto"/>
            <w:noWrap/>
            <w:vAlign w:val="center"/>
          </w:tcPr>
          <w:p>
            <w:pPr>
              <w:pStyle w:val="55"/>
              <w:widowControl/>
              <w:snapToGrid w:val="0"/>
              <w:jc w:val="center"/>
              <w:rPr>
                <w:rFonts w:hint="eastAsia" w:ascii="宋体" w:cs="宋体"/>
                <w:color w:val="000000"/>
                <w:kern w:val="0"/>
                <w:sz w:val="28"/>
                <w:szCs w:val="28"/>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07" w:type="dxa"/>
            <w:tcBorders>
              <w:top w:val="single" w:color="auto" w:sz="4" w:space="0"/>
              <w:left w:val="single" w:color="auto" w:sz="8" w:space="0"/>
              <w:bottom w:val="single" w:color="auto" w:sz="4" w:space="0"/>
              <w:right w:val="single" w:color="auto" w:sz="4" w:space="0"/>
              <w:tl2br w:val="nil"/>
              <w:tr2bl w:val="nil"/>
            </w:tcBorders>
            <w:shd w:val="clear" w:color="auto" w:fill="auto"/>
            <w:noWrap/>
            <w:vAlign w:val="center"/>
          </w:tcPr>
          <w:p>
            <w:pPr>
              <w:pStyle w:val="55"/>
              <w:widowControl/>
              <w:snapToGrid w:val="0"/>
              <w:jc w:val="left"/>
              <w:rPr>
                <w:rFonts w:hint="eastAsia" w:ascii="宋体" w:cs="宋体"/>
                <w:color w:val="000000"/>
                <w:kern w:val="0"/>
                <w:sz w:val="28"/>
                <w:szCs w:val="28"/>
                <w:lang w:bidi="ar-SA"/>
              </w:rPr>
            </w:pPr>
            <w:r>
              <w:rPr>
                <w:rFonts w:hint="eastAsia" w:ascii="宋体" w:cs="宋体"/>
                <w:color w:val="000000"/>
                <w:kern w:val="0"/>
                <w:sz w:val="28"/>
                <w:szCs w:val="28"/>
                <w:lang w:bidi="ar-SA"/>
              </w:rPr>
              <w:t>违反海关规定涉及事项</w:t>
            </w:r>
          </w:p>
        </w:tc>
        <w:tc>
          <w:tcPr>
            <w:tcW w:w="2736" w:type="dxa"/>
            <w:tcBorders>
              <w:top w:val="single" w:color="auto" w:sz="4" w:space="0"/>
              <w:left w:val="nil"/>
              <w:bottom w:val="single" w:color="auto" w:sz="4" w:space="0"/>
              <w:right w:val="single" w:color="auto" w:sz="4" w:space="0"/>
              <w:tl2br w:val="nil"/>
              <w:tr2bl w:val="nil"/>
            </w:tcBorders>
            <w:shd w:val="clear" w:color="auto" w:fill="auto"/>
            <w:noWrap/>
            <w:vAlign w:val="center"/>
          </w:tcPr>
          <w:p>
            <w:pPr>
              <w:pStyle w:val="55"/>
              <w:widowControl/>
              <w:snapToGrid w:val="0"/>
              <w:jc w:val="left"/>
              <w:rPr>
                <w:rFonts w:hint="eastAsia" w:ascii="宋体" w:cs="宋体"/>
                <w:color w:val="000000"/>
                <w:kern w:val="0"/>
                <w:sz w:val="28"/>
                <w:szCs w:val="28"/>
                <w:lang w:bidi="ar-SA"/>
              </w:rPr>
            </w:pPr>
          </w:p>
        </w:tc>
        <w:tc>
          <w:tcPr>
            <w:tcW w:w="2292" w:type="dxa"/>
            <w:tcBorders>
              <w:top w:val="nil"/>
              <w:left w:val="nil"/>
              <w:bottom w:val="single" w:color="auto" w:sz="4" w:space="0"/>
              <w:right w:val="single" w:color="auto" w:sz="4" w:space="0"/>
              <w:tl2br w:val="nil"/>
              <w:tr2bl w:val="nil"/>
            </w:tcBorders>
            <w:shd w:val="clear" w:color="auto" w:fill="auto"/>
            <w:noWrap/>
            <w:vAlign w:val="center"/>
          </w:tcPr>
          <w:p>
            <w:pPr>
              <w:pStyle w:val="55"/>
              <w:widowControl/>
              <w:snapToGrid w:val="0"/>
              <w:jc w:val="left"/>
              <w:rPr>
                <w:rFonts w:hint="eastAsia" w:ascii="宋体" w:cs="宋体"/>
                <w:color w:val="000000"/>
                <w:kern w:val="0"/>
                <w:sz w:val="28"/>
                <w:szCs w:val="28"/>
                <w:lang w:bidi="ar-SA"/>
              </w:rPr>
            </w:pPr>
            <w:r>
              <w:rPr>
                <w:rFonts w:hint="eastAsia" w:ascii="宋体" w:cs="宋体"/>
                <w:color w:val="000000"/>
                <w:kern w:val="0"/>
                <w:sz w:val="28"/>
                <w:szCs w:val="28"/>
                <w:lang w:bidi="ar-SA"/>
              </w:rPr>
              <w:t>违反海关规定行为发生日</w:t>
            </w:r>
          </w:p>
        </w:tc>
        <w:tc>
          <w:tcPr>
            <w:tcW w:w="2532" w:type="dxa"/>
            <w:tcBorders>
              <w:top w:val="nil"/>
              <w:left w:val="nil"/>
              <w:bottom w:val="single" w:color="auto" w:sz="4" w:space="0"/>
              <w:right w:val="single" w:color="auto" w:sz="8" w:space="0"/>
              <w:tl2br w:val="nil"/>
              <w:tr2bl w:val="nil"/>
            </w:tcBorders>
            <w:shd w:val="clear" w:color="auto" w:fill="auto"/>
            <w:noWrap/>
            <w:vAlign w:val="center"/>
          </w:tcPr>
          <w:p>
            <w:pPr>
              <w:pStyle w:val="55"/>
              <w:widowControl/>
              <w:snapToGrid w:val="0"/>
              <w:jc w:val="center"/>
              <w:rPr>
                <w:rFonts w:hint="eastAsia" w:ascii="宋体" w:cs="宋体"/>
                <w:color w:val="000000"/>
                <w:kern w:val="0"/>
                <w:sz w:val="28"/>
                <w:szCs w:val="28"/>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0" w:hRule="atLeast"/>
          <w:jc w:val="center"/>
        </w:trPr>
        <w:tc>
          <w:tcPr>
            <w:tcW w:w="2107" w:type="dxa"/>
            <w:tcBorders>
              <w:top w:val="nil"/>
              <w:left w:val="single" w:color="auto" w:sz="8" w:space="0"/>
              <w:bottom w:val="single" w:color="auto" w:sz="4" w:space="0"/>
              <w:right w:val="single" w:color="auto" w:sz="4" w:space="0"/>
              <w:tl2br w:val="nil"/>
              <w:tr2bl w:val="nil"/>
            </w:tcBorders>
            <w:shd w:val="clear" w:color="auto" w:fill="auto"/>
            <w:vAlign w:val="center"/>
          </w:tcPr>
          <w:p>
            <w:pPr>
              <w:pStyle w:val="55"/>
              <w:widowControl/>
              <w:snapToGrid w:val="0"/>
              <w:jc w:val="center"/>
              <w:rPr>
                <w:rFonts w:hint="eastAsia" w:ascii="宋体" w:cs="宋体"/>
                <w:color w:val="000000"/>
                <w:kern w:val="0"/>
                <w:sz w:val="28"/>
                <w:szCs w:val="28"/>
                <w:lang w:bidi="ar-SA"/>
              </w:rPr>
            </w:pPr>
            <w:r>
              <w:rPr>
                <w:rFonts w:hint="eastAsia" w:ascii="宋体" w:cs="宋体"/>
                <w:color w:val="000000"/>
                <w:kern w:val="0"/>
                <w:sz w:val="28"/>
                <w:szCs w:val="28"/>
                <w:lang w:bidi="ar-SA"/>
              </w:rPr>
              <w:t>主动披露内容</w:t>
            </w:r>
          </w:p>
        </w:tc>
        <w:tc>
          <w:tcPr>
            <w:tcW w:w="7560" w:type="dxa"/>
            <w:gridSpan w:val="3"/>
            <w:tcBorders>
              <w:top w:val="single" w:color="auto" w:sz="4" w:space="0"/>
              <w:left w:val="single" w:color="auto" w:sz="4" w:space="0"/>
              <w:bottom w:val="single" w:color="auto" w:sz="4" w:space="0"/>
              <w:right w:val="single" w:color="000000" w:sz="8" w:space="0"/>
              <w:tl2br w:val="nil"/>
              <w:tr2bl w:val="nil"/>
            </w:tcBorders>
            <w:shd w:val="clear" w:color="auto" w:fill="auto"/>
            <w:noWrap/>
          </w:tcPr>
          <w:p>
            <w:pPr>
              <w:pStyle w:val="55"/>
              <w:snapToGrid w:val="0"/>
              <w:rPr>
                <w:rFonts w:hint="eastAsia" w:ascii="宋体"/>
                <w:sz w:val="28"/>
                <w:szCs w:val="28"/>
              </w:rPr>
            </w:pPr>
          </w:p>
          <w:p>
            <w:pPr>
              <w:pStyle w:val="55"/>
              <w:snapToGrid w:val="0"/>
              <w:rPr>
                <w:rFonts w:hint="eastAsia" w:ascii="宋体"/>
                <w:sz w:val="28"/>
                <w:szCs w:val="28"/>
              </w:rPr>
            </w:pPr>
          </w:p>
          <w:p>
            <w:pPr>
              <w:pStyle w:val="55"/>
              <w:snapToGrid w:val="0"/>
              <w:rPr>
                <w:rFonts w:hint="eastAsia" w:ascii="宋体"/>
                <w:sz w:val="28"/>
                <w:szCs w:val="28"/>
              </w:rPr>
            </w:pPr>
          </w:p>
          <w:p>
            <w:pPr>
              <w:pStyle w:val="55"/>
              <w:snapToGrid w:val="0"/>
              <w:rPr>
                <w:rFonts w:hint="eastAsia" w:ascii="宋体"/>
                <w:sz w:val="28"/>
                <w:szCs w:val="28"/>
              </w:rPr>
            </w:pPr>
          </w:p>
          <w:p>
            <w:pPr>
              <w:pStyle w:val="55"/>
              <w:snapToGrid w:val="0"/>
              <w:rPr>
                <w:rFonts w:hint="eastAsia" w:ascii="宋体"/>
                <w:sz w:val="28"/>
                <w:szCs w:val="28"/>
              </w:rPr>
            </w:pPr>
          </w:p>
          <w:p>
            <w:pPr>
              <w:pStyle w:val="55"/>
              <w:snapToGrid w:val="0"/>
              <w:rPr>
                <w:rFonts w:hint="eastAsia" w:ascii="宋体" w:cs="宋体"/>
                <w:color w:val="000000"/>
                <w:kern w:val="0"/>
                <w:sz w:val="28"/>
                <w:szCs w:val="28"/>
                <w:lang w:bidi="ar-SA"/>
              </w:rPr>
            </w:pPr>
            <w:r>
              <w:rPr>
                <w:rFonts w:hint="eastAsia" w:ascii="宋体"/>
                <w:sz w:val="28"/>
                <w:szCs w:val="28"/>
              </w:rPr>
              <w:t>（可另附自查情况详细说明）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jc w:val="center"/>
        </w:trPr>
        <w:tc>
          <w:tcPr>
            <w:tcW w:w="2107" w:type="dxa"/>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55"/>
              <w:snapToGrid w:val="0"/>
              <w:jc w:val="center"/>
              <w:rPr>
                <w:rFonts w:hint="eastAsia" w:ascii="宋体" w:cs="宋体"/>
                <w:color w:val="000000"/>
                <w:kern w:val="0"/>
                <w:sz w:val="28"/>
                <w:szCs w:val="28"/>
                <w:lang w:bidi="ar-SA"/>
              </w:rPr>
            </w:pPr>
            <w:r>
              <w:rPr>
                <w:rFonts w:hint="eastAsia" w:ascii="宋体" w:cs="宋体"/>
                <w:color w:val="000000"/>
                <w:kern w:val="0"/>
                <w:sz w:val="28"/>
                <w:szCs w:val="28"/>
                <w:lang w:bidi="ar-SA"/>
              </w:rPr>
              <w:t>随附材料清单</w:t>
            </w:r>
          </w:p>
        </w:tc>
        <w:tc>
          <w:tcPr>
            <w:tcW w:w="7560" w:type="dxa"/>
            <w:gridSpan w:val="3"/>
            <w:tcBorders>
              <w:top w:val="single" w:color="auto" w:sz="4" w:space="0"/>
              <w:left w:val="single" w:color="auto" w:sz="4" w:space="0"/>
              <w:bottom w:val="single" w:color="auto" w:sz="4" w:space="0"/>
              <w:right w:val="single" w:color="000000" w:sz="8" w:space="0"/>
              <w:tl2br w:val="nil"/>
              <w:tr2bl w:val="nil"/>
            </w:tcBorders>
            <w:shd w:val="clear" w:color="auto" w:fill="auto"/>
            <w:noWrap/>
            <w:vAlign w:val="center"/>
          </w:tcPr>
          <w:p>
            <w:pPr>
              <w:pStyle w:val="55"/>
              <w:snapToGrid w:val="0"/>
              <w:rPr>
                <w:rFonts w:hint="eastAsia" w:ascii="宋体"/>
                <w:sz w:val="30"/>
                <w:szCs w:val="30"/>
              </w:rPr>
            </w:pPr>
            <w:r>
              <w:rPr>
                <w:rFonts w:hint="eastAsia" w:ascii="宋体"/>
                <w:sz w:val="30"/>
                <w:szCs w:val="30"/>
              </w:rPr>
              <w:t>1.</w:t>
            </w:r>
            <w:r>
              <w:rPr>
                <w:rFonts w:hint="eastAsia" w:ascii="宋体"/>
                <w:sz w:val="30"/>
                <w:szCs w:val="30"/>
                <w:u w:val="single"/>
              </w:rPr>
              <w:t xml:space="preserve">                      </w:t>
            </w:r>
          </w:p>
          <w:p>
            <w:pPr>
              <w:pStyle w:val="55"/>
              <w:snapToGrid w:val="0"/>
              <w:rPr>
                <w:rFonts w:hint="eastAsia" w:ascii="宋体"/>
                <w:sz w:val="30"/>
                <w:szCs w:val="30"/>
                <w:u w:val="single"/>
              </w:rPr>
            </w:pPr>
            <w:r>
              <w:rPr>
                <w:rFonts w:hint="eastAsia" w:ascii="宋体"/>
                <w:sz w:val="30"/>
                <w:szCs w:val="30"/>
              </w:rPr>
              <w:t>2.</w:t>
            </w:r>
            <w:r>
              <w:rPr>
                <w:rFonts w:hint="eastAsia" w:ascii="宋体"/>
                <w:sz w:val="30"/>
                <w:szCs w:val="30"/>
                <w:u w:val="single"/>
              </w:rPr>
              <w:t xml:space="preserve">                      </w:t>
            </w:r>
          </w:p>
          <w:p>
            <w:pPr>
              <w:pStyle w:val="55"/>
              <w:snapToGrid w:val="0"/>
              <w:rPr>
                <w:rFonts w:hint="eastAsia" w:ascii="宋体"/>
                <w:sz w:val="30"/>
                <w:szCs w:val="30"/>
              </w:rPr>
            </w:pPr>
            <w:r>
              <w:rPr>
                <w:rFonts w:hint="eastAsia" w:ascii="宋体"/>
                <w:sz w:val="30"/>
                <w:szCs w:val="30"/>
              </w:rPr>
              <w:t>3.</w:t>
            </w:r>
            <w:r>
              <w:rPr>
                <w:rFonts w:hint="eastAsia" w:ascii="宋体"/>
                <w:sz w:val="30"/>
                <w:szCs w:val="30"/>
                <w:u w:val="single"/>
              </w:rPr>
              <w:t xml:space="preserve">                      </w:t>
            </w:r>
          </w:p>
          <w:p>
            <w:pPr>
              <w:pStyle w:val="58"/>
              <w:snapToGrid w:val="0"/>
              <w:ind w:left="0"/>
              <w:rPr>
                <w:rFonts w:hint="eastAsia" w:ascii="宋体"/>
                <w:sz w:val="30"/>
                <w:szCs w:val="30"/>
              </w:rPr>
            </w:pPr>
            <w:r>
              <w:rPr>
                <w:rFonts w:hint="eastAsia" w:ascii="宋体"/>
                <w:sz w:val="30"/>
                <w:szCs w:val="30"/>
              </w:rPr>
              <w:t>.</w:t>
            </w:r>
            <w:r>
              <w:rPr>
                <w:rFonts w:hint="eastAsia" w:ascii="宋体"/>
                <w:sz w:val="30"/>
                <w:szCs w:val="30"/>
                <w:u w:val="single"/>
              </w:rPr>
              <w:t xml:space="preserve">                      　</w:t>
            </w:r>
          </w:p>
          <w:p>
            <w:pPr>
              <w:pStyle w:val="55"/>
              <w:snapToGrid w:val="0"/>
              <w:rPr>
                <w:rFonts w:hint="eastAsia" w:ascii="宋体" w:cs="宋体"/>
                <w:kern w:val="0"/>
                <w:sz w:val="32"/>
                <w:szCs w:val="32"/>
                <w:lang w:bidi="ar-SA"/>
              </w:rPr>
            </w:pPr>
            <w:r>
              <w:rPr>
                <w:rFonts w:hint="eastAsia" w:ascii="宋体"/>
                <w:sz w:val="30"/>
                <w:szCs w:val="30"/>
              </w:rPr>
              <w:t>以上材料共      页。</w:t>
            </w:r>
          </w:p>
        </w:tc>
      </w:tr>
    </w:tbl>
    <w:p>
      <w:pPr>
        <w:pStyle w:val="55"/>
        <w:snapToGrid w:val="0"/>
        <w:ind w:right="640" w:firstLine="5846" w:firstLineChars="1850"/>
        <w:rPr>
          <w:rFonts w:hint="eastAsia" w:ascii="宋体" w:cs="仿宋_GB2312"/>
          <w:sz w:val="32"/>
          <w:szCs w:val="32"/>
          <w:lang w:bidi="ar-SA"/>
        </w:rPr>
      </w:pPr>
      <w:r>
        <w:rPr>
          <w:rFonts w:hint="eastAsia" w:ascii="宋体" w:cs="仿宋_GB2312"/>
          <w:sz w:val="32"/>
          <w:szCs w:val="32"/>
          <w:lang w:bidi="ar-SA"/>
        </w:rPr>
        <w:t>企业、单位印章</w:t>
      </w:r>
    </w:p>
    <w:p>
      <w:pPr>
        <w:pStyle w:val="55"/>
        <w:snapToGrid w:val="0"/>
        <w:ind w:right="640" w:firstLine="6004" w:firstLineChars="1900"/>
        <w:rPr>
          <w:rFonts w:hint="eastAsia" w:ascii="宋体" w:cs="仿宋_GB2312"/>
          <w:sz w:val="32"/>
          <w:szCs w:val="32"/>
          <w:lang w:bidi="ar-SA"/>
        </w:rPr>
      </w:pPr>
    </w:p>
    <w:p>
      <w:pPr>
        <w:pStyle w:val="55"/>
        <w:snapToGrid w:val="0"/>
        <w:ind w:right="640" w:firstLine="6004" w:firstLineChars="1900"/>
        <w:rPr>
          <w:rFonts w:ascii="宋体" w:cs="仿宋_GB2312"/>
          <w:sz w:val="32"/>
          <w:szCs w:val="32"/>
          <w:lang w:bidi="ar-SA"/>
        </w:rPr>
      </w:pPr>
      <w:r>
        <w:rPr>
          <w:rFonts w:hint="eastAsia" w:ascii="宋体" w:cs="仿宋_GB2312"/>
          <w:sz w:val="32"/>
          <w:szCs w:val="32"/>
          <w:lang w:bidi="ar-SA"/>
        </w:rPr>
        <w:t xml:space="preserve"> 年   月   日</w:t>
      </w:r>
    </w:p>
    <w:p>
      <w:pPr>
        <w:pStyle w:val="55"/>
        <w:snapToGrid w:val="0"/>
        <w:ind w:left="0" w:right="640"/>
        <w:rPr>
          <w:rFonts w:ascii="宋体" w:cs="仿宋_GB2312"/>
          <w:sz w:val="28"/>
          <w:szCs w:val="28"/>
          <w:lang w:bidi="ar-SA"/>
        </w:rPr>
      </w:pPr>
    </w:p>
    <w:p>
      <w:pPr>
        <w:pStyle w:val="33"/>
        <w:adjustRightInd w:val="0"/>
        <w:snapToGrid w:val="0"/>
        <w:jc w:val="center"/>
        <w:rPr>
          <w:rFonts w:hint="eastAsia" w:ascii="宋体" w:hAnsi="宋体" w:eastAsia="方正黑体_GBK" w:cs="仿宋_GB2312"/>
          <w:color w:val="000000"/>
          <w:sz w:val="32"/>
          <w:szCs w:val="32"/>
        </w:rPr>
      </w:pPr>
      <w:r>
        <w:rPr>
          <w:rFonts w:hint="eastAsia" w:ascii="方正楷体_GBK" w:eastAsia="方正楷体_GBK" w:cs="仿宋_GB2312"/>
          <w:sz w:val="28"/>
          <w:szCs w:val="28"/>
          <w:lang w:bidi="ar-SA"/>
        </w:rPr>
        <w:t>本报告表一式两份，海关留存一份，申请单位留存一份。</w:t>
      </w:r>
    </w:p>
    <w:sectPr>
      <w:footerReference r:id="rId5" w:type="default"/>
      <w:footerReference r:id="rId6" w:type="even"/>
      <w:pgSz w:w="11907" w:h="16840"/>
      <w:pgMar w:top="2098" w:right="1474" w:bottom="1985" w:left="1588" w:header="1814" w:footer="1474" w:gutter="0"/>
      <w:pgNumType w:start="1"/>
      <w:cols w:space="720" w:num="1"/>
      <w:docGrid w:type="linesAndChars" w:linePitch="580" w:charSpace="-8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方正小标宋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Bdr>
        <w:top w:val="none" w:color="auto" w:sz="0" w:space="0"/>
        <w:left w:val="none" w:color="auto" w:sz="0" w:space="0"/>
        <w:bottom w:val="none" w:color="auto" w:sz="0" w:space="0"/>
        <w:right w:val="none" w:color="auto" w:sz="0" w:space="0"/>
      </w:pBdr>
      <w:rPr>
        <w:sz w:val="24"/>
        <w:szCs w:val="24"/>
      </w:rPr>
    </w:pPr>
    <w:r>
      <w:rPr>
        <w:rStyle w:val="13"/>
        <w:sz w:val="24"/>
        <w:szCs w:val="24"/>
      </w:rPr>
      <w:fldChar w:fldCharType="begin"/>
    </w:r>
    <w:r>
      <w:rPr>
        <w:rStyle w:val="13"/>
        <w:sz w:val="24"/>
        <w:szCs w:val="24"/>
      </w:rPr>
      <w:instrText xml:space="preserve">Page</w:instrText>
    </w:r>
    <w:r>
      <w:rPr>
        <w:rStyle w:val="13"/>
        <w:sz w:val="24"/>
        <w:szCs w:val="24"/>
      </w:rPr>
      <w:fldChar w:fldCharType="separate"/>
    </w:r>
    <w:r>
      <w:rPr>
        <w:rStyle w:val="13"/>
        <w:sz w:val="24"/>
        <w:szCs w:val="24"/>
      </w:rPr>
      <w:t>1</w:t>
    </w:r>
    <w:r>
      <w:rPr>
        <w:rStyle w:val="13"/>
        <w:sz w:val="24"/>
        <w:szCs w:val="24"/>
      </w:rPr>
      <w:fldChar w:fldCharType="end"/>
    </w:r>
  </w:p>
  <w:p>
    <w:pPr>
      <w:pStyle w:val="7"/>
      <w:jc w:val="both"/>
      <w:rPr>
        <w:sz w:val="24"/>
        <w:szCs w:val="24"/>
      </w:rPr>
    </w:pPr>
    <w:r>
      <w:rPr>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1</w:t>
    </w:r>
    <w:r>
      <w:rPr>
        <w:rStyle w:val="13"/>
      </w:rPr>
      <w:fldChar w:fldCharType="end"/>
    </w:r>
  </w:p>
  <w:p>
    <w:pPr>
      <w:pStyle w:val="7"/>
      <w:framePr w:wrap="around" w:vAnchor="text" w:hAnchor="margin" w:xAlign="center"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0</w:t>
    </w:r>
    <w:r>
      <w:rPr>
        <w:rStyle w:val="13"/>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trackRevisions w:val="1"/>
  <w:documentProtection w:enforcement="0"/>
  <w:defaultTabStop w:val="420"/>
  <w:drawingGridHorizontalSpacing w:val="157"/>
  <w:drawingGridVerticalSpacing w:val="289"/>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251C19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12">
    <w:name w:val="Default Paragraph Fon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index 5"/>
    <w:basedOn w:val="1"/>
    <w:next w:val="1"/>
    <w:uiPriority w:val="0"/>
    <w:pPr>
      <w:ind w:left="1680"/>
    </w:pPr>
  </w:style>
  <w:style w:type="paragraph" w:styleId="6">
    <w:name w:val="toc 8"/>
    <w:basedOn w:val="1"/>
    <w:next w:val="1"/>
    <w:uiPriority w:val="0"/>
    <w:pPr>
      <w:ind w:left="2940"/>
    </w:pPr>
  </w:style>
  <w:style w:type="paragraph" w:styleId="7">
    <w:name w:val="footer"/>
    <w:basedOn w:val="1"/>
    <w:uiPriority w:val="0"/>
    <w:pPr>
      <w:tabs>
        <w:tab w:val="center" w:pos="4153"/>
        <w:tab w:val="right" w:pos="8307"/>
      </w:tabs>
      <w:snapToGrid w:val="0"/>
      <w:jc w:val="left"/>
    </w:pPr>
    <w:rPr>
      <w:sz w:val="18"/>
    </w:rPr>
  </w:style>
  <w:style w:type="paragraph" w:styleId="8">
    <w:name w:val="header"/>
    <w:basedOn w:val="1"/>
    <w:uiPriority w:val="0"/>
    <w:pPr>
      <w:pBdr>
        <w:bottom w:val="single" w:color="auto" w:sz="6" w:space="1"/>
      </w:pBdr>
      <w:tabs>
        <w:tab w:val="center" w:pos="4153"/>
        <w:tab w:val="right" w:pos="8307"/>
      </w:tabs>
      <w:snapToGrid w:val="0"/>
      <w:jc w:val="center"/>
    </w:pPr>
    <w:rPr>
      <w:sz w:val="18"/>
    </w:rPr>
  </w:style>
  <w:style w:type="paragraph" w:styleId="9">
    <w:name w:val="toc 2"/>
    <w:basedOn w:val="1"/>
    <w:next w:val="1"/>
    <w:uiPriority w:val="0"/>
    <w:pPr>
      <w:ind w:left="420"/>
    </w:pPr>
  </w:style>
  <w:style w:type="paragraph" w:styleId="10">
    <w:name w:val="Normal (Web)"/>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character" w:styleId="13">
    <w:name w:val="page number"/>
    <w:basedOn w:val="12"/>
    <w:uiPriority w:val="0"/>
  </w:style>
  <w:style w:type="character" w:styleId="14">
    <w:name w:val="HTML Variable"/>
    <w:basedOn w:val="12"/>
    <w:uiPriority w:val="0"/>
    <w:rPr>
      <w:i/>
    </w:rPr>
  </w:style>
  <w:style w:type="paragraph" w:customStyle="1" w:styleId="15">
    <w:name w:val="样式 2 三号"/>
    <w:next w:val="9"/>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6">
    <w:name w:val="样式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17">
    <w:name w:val="样式 1 三号"/>
    <w:next w:val="18"/>
    <w:uiPriority w:val="0"/>
    <w:pPr>
      <w:widowControl w:val="0"/>
      <w:spacing w:line="560" w:lineRule="exact"/>
      <w:jc w:val="both"/>
    </w:pPr>
    <w:rPr>
      <w:rFonts w:ascii="Times New Roman" w:hAnsi="Times New Roman" w:eastAsia="方正仿宋_GBK" w:cs="Times New Roman"/>
      <w:spacing w:val="-4"/>
      <w:kern w:val="2"/>
      <w:sz w:val="32"/>
      <w:szCs w:val="20"/>
      <w:lang w:val="en-US" w:eastAsia="zh-CN" w:bidi="ar-SA"/>
    </w:rPr>
  </w:style>
  <w:style w:type="paragraph" w:customStyle="1" w:styleId="18">
    <w:name w:val="样式 8 三号"/>
    <w:next w:val="6"/>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19">
    <w:name w:val="样式 3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20">
    <w:name w:val="样式 4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21">
    <w:name w:val="样式 5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22">
    <w:name w:val="样式 6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23">
    <w:name w:val="样式 7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24">
    <w:name w:val="样式 9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25">
    <w:name w:val="样式 10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26">
    <w:name w:val="样式 11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27">
    <w:name w:val="样式 12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28">
    <w:name w:val="样式 13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29">
    <w:name w:val="样式 14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30">
    <w:name w:val="样式 15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31">
    <w:name w:val="样式 1 10 磅"/>
    <w:next w:val="1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33">
    <w:name w:val="样式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样式 2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样式 16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36">
    <w:name w:val="样式 17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37">
    <w:name w:val="样式 18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38">
    <w:name w:val="样式 2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样式 3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样式 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样式 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样式 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样式 19 三号"/>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44">
    <w:name w:val="样式 20 三号"/>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45">
    <w:name w:val="样式 21 三号"/>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46">
    <w:name w:val="样式 3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47">
    <w:name w:val="样式 22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48">
    <w:name w:val="样式 1056 三号"/>
    <w:uiPriority w:val="0"/>
    <w:pPr>
      <w:widowControl w:val="0"/>
      <w:spacing w:line="560" w:lineRule="exact"/>
      <w:ind w:firstLine="200" w:firstLineChars="200"/>
    </w:pPr>
    <w:rPr>
      <w:rFonts w:ascii="宋体" w:hAnsi="宋体" w:eastAsia="方正仿宋_GBK" w:cs="Courier New"/>
      <w:kern w:val="2"/>
      <w:sz w:val="32"/>
      <w:szCs w:val="21"/>
      <w:lang w:val="en-US" w:eastAsia="zh-CN" w:bidi="ar-SA"/>
    </w:rPr>
  </w:style>
  <w:style w:type="paragraph" w:customStyle="1" w:styleId="49">
    <w:name w:val="样式 23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50">
    <w:name w:val="样式 24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51">
    <w:name w:val="样式 25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52">
    <w:name w:val="样式 26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53">
    <w:name w:val="样式 27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54">
    <w:name w:val="样式 28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55">
    <w:name w:val="样式 7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样式 29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57">
    <w:name w:val="样式 8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样式 9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公式样式 符号"/>
    <w:uiPriority w:val="0"/>
    <w:rPr>
      <w:rFonts w:ascii="Times New Roman" w:hAnsi="Times New Roman" w:eastAsia="宋体" w:cs="Times New Roman"/>
      <w:sz w:val="20"/>
      <w:szCs w:val="20"/>
      <w:lang w:val="en-US" w:eastAsia="zh-CN" w:bidi="ar-SA"/>
    </w:rPr>
  </w:style>
  <w:style w:type="paragraph" w:customStyle="1" w:styleId="60">
    <w:name w:val="公式样式 矢量矩阵"/>
    <w:uiPriority w:val="0"/>
    <w:rPr>
      <w:rFonts w:ascii="Times New Roman" w:hAnsi="Times New Roman" w:eastAsia="宋体" w:cs="Times New Roman"/>
      <w:b/>
      <w:sz w:val="20"/>
      <w:szCs w:val="20"/>
      <w:lang w:val="en-US" w:eastAsia="zh-CN" w:bidi="ar-SA"/>
    </w:rPr>
  </w:style>
  <w:style w:type="paragraph" w:customStyle="1" w:styleId="61">
    <w:name w:val="公式样式 数字"/>
    <w:uiPriority w:val="0"/>
    <w:rPr>
      <w:rFonts w:ascii="Times New Roman" w:hAnsi="Times New Roman" w:eastAsia="宋体" w:cs="Times New Roman"/>
      <w:sz w:val="20"/>
      <w:szCs w:val="20"/>
      <w:lang w:val="en-US" w:eastAsia="zh-CN" w:bidi="ar-SA"/>
    </w:rPr>
  </w:style>
  <w:style w:type="paragraph" w:customStyle="1" w:styleId="62">
    <w:name w:val="样式 38 10 磅"/>
    <w:uiPriority w:val="0"/>
    <w:pPr>
      <w:widowControl w:val="0"/>
      <w:jc w:val="both"/>
    </w:pPr>
    <w:rPr>
      <w:rFonts w:ascii="Calibri" w:hAnsi="Calibri" w:eastAsia="宋体" w:cs="Arial"/>
      <w:kern w:val="2"/>
      <w:sz w:val="21"/>
      <w:szCs w:val="22"/>
      <w:lang w:val="en-US" w:eastAsia="zh-CN" w:bidi="ar-SA"/>
    </w:rPr>
  </w:style>
  <w:style w:type="paragraph" w:customStyle="1" w:styleId="63">
    <w:name w:val="样式 39 10 磅"/>
    <w:uiPriority w:val="0"/>
    <w:pPr>
      <w:widowControl w:val="0"/>
      <w:jc w:val="both"/>
    </w:pPr>
    <w:rPr>
      <w:rFonts w:ascii="Calibri" w:hAnsi="Calibri" w:eastAsia="宋体" w:cs="Arial"/>
      <w:kern w:val="2"/>
      <w:sz w:val="21"/>
      <w:szCs w:val="22"/>
      <w:lang w:val="en-US" w:eastAsia="zh-CN" w:bidi="ar-SA"/>
    </w:rPr>
  </w:style>
  <w:style w:type="paragraph" w:customStyle="1" w:styleId="64">
    <w:name w:val="样式 40 10 磅"/>
    <w:uiPriority w:val="0"/>
    <w:pPr>
      <w:widowControl w:val="0"/>
      <w:jc w:val="both"/>
    </w:pPr>
    <w:rPr>
      <w:rFonts w:ascii="Calibri" w:hAnsi="Calibri" w:eastAsia="宋体" w:cs="Arial"/>
      <w:kern w:val="2"/>
      <w:sz w:val="21"/>
      <w:szCs w:val="22"/>
      <w:lang w:val="en-US" w:eastAsia="zh-CN" w:bidi="ar-SA"/>
    </w:rPr>
  </w:style>
  <w:style w:type="paragraph" w:customStyle="1" w:styleId="65">
    <w:name w:val="样式 41 10 磅"/>
    <w:uiPriority w:val="0"/>
    <w:pPr>
      <w:widowControl w:val="0"/>
      <w:jc w:val="both"/>
    </w:pPr>
    <w:rPr>
      <w:rFonts w:ascii="Calibri" w:hAnsi="Calibri" w:eastAsia="宋体" w:cs="Arial"/>
      <w:kern w:val="2"/>
      <w:sz w:val="21"/>
      <w:szCs w:val="22"/>
      <w:lang w:val="en-US" w:eastAsia="zh-CN" w:bidi="ar-SA"/>
    </w:rPr>
  </w:style>
  <w:style w:type="paragraph" w:customStyle="1" w:styleId="66">
    <w:name w:val="样式 42 10 磅"/>
    <w:uiPriority w:val="0"/>
    <w:pPr>
      <w:widowControl w:val="0"/>
      <w:jc w:val="both"/>
    </w:pPr>
    <w:rPr>
      <w:rFonts w:ascii="Calibri" w:hAnsi="Calibri" w:eastAsia="宋体" w:cs="Arial"/>
      <w:kern w:val="2"/>
      <w:sz w:val="21"/>
      <w:szCs w:val="22"/>
      <w:lang w:val="en-US" w:eastAsia="zh-CN" w:bidi="ar-SA"/>
    </w:rPr>
  </w:style>
  <w:style w:type="paragraph" w:customStyle="1" w:styleId="67">
    <w:name w:val="样式 43 10 磅"/>
    <w:uiPriority w:val="0"/>
    <w:pPr>
      <w:widowControl w:val="0"/>
      <w:jc w:val="both"/>
    </w:pPr>
    <w:rPr>
      <w:rFonts w:ascii="Calibri" w:hAnsi="Calibri" w:eastAsia="宋体" w:cs="Arial"/>
      <w:kern w:val="2"/>
      <w:sz w:val="21"/>
      <w:szCs w:val="22"/>
      <w:lang w:val="en-US" w:eastAsia="zh-CN" w:bidi="ar-SA"/>
    </w:rPr>
  </w:style>
  <w:style w:type="paragraph" w:customStyle="1" w:styleId="68">
    <w:name w:val="样式 44 10 磅"/>
    <w:uiPriority w:val="0"/>
    <w:pPr>
      <w:widowControl w:val="0"/>
      <w:jc w:val="both"/>
    </w:pPr>
    <w:rPr>
      <w:rFonts w:ascii="Calibri" w:hAnsi="Calibri" w:eastAsia="宋体" w:cs="Arial"/>
      <w:kern w:val="2"/>
      <w:sz w:val="21"/>
      <w:szCs w:val="22"/>
      <w:lang w:val="en-US" w:eastAsia="zh-CN" w:bidi="ar-SA"/>
    </w:rPr>
  </w:style>
  <w:style w:type="paragraph" w:customStyle="1" w:styleId="69">
    <w:name w:val="样式 45 10 磅"/>
    <w:uiPriority w:val="0"/>
    <w:pPr>
      <w:widowControl w:val="0"/>
      <w:jc w:val="both"/>
    </w:pPr>
    <w:rPr>
      <w:rFonts w:ascii="Calibri" w:hAnsi="Calibri" w:eastAsia="宋体" w:cs="Arial"/>
      <w:kern w:val="2"/>
      <w:sz w:val="21"/>
      <w:szCs w:val="22"/>
      <w:lang w:val="en-US" w:eastAsia="zh-CN" w:bidi="ar-SA"/>
    </w:rPr>
  </w:style>
  <w:style w:type="paragraph" w:customStyle="1" w:styleId="70">
    <w:name w:val="样式 46 10 磅"/>
    <w:uiPriority w:val="0"/>
    <w:pPr>
      <w:widowControl w:val="0"/>
      <w:jc w:val="both"/>
    </w:pPr>
    <w:rPr>
      <w:rFonts w:ascii="Calibri" w:hAnsi="Calibri" w:eastAsia="宋体" w:cs="Arial"/>
      <w:kern w:val="2"/>
      <w:sz w:val="21"/>
      <w:szCs w:val="22"/>
      <w:lang w:val="en-US" w:eastAsia="zh-CN" w:bidi="ar-SA"/>
    </w:rPr>
  </w:style>
  <w:style w:type="paragraph" w:customStyle="1" w:styleId="71">
    <w:name w:val="样式 47 10 磅"/>
    <w:uiPriority w:val="0"/>
    <w:pPr>
      <w:widowControl w:val="0"/>
      <w:jc w:val="both"/>
    </w:pPr>
    <w:rPr>
      <w:rFonts w:ascii="Calibri" w:hAnsi="Calibri" w:eastAsia="宋体" w:cs="Arial"/>
      <w:kern w:val="2"/>
      <w:sz w:val="21"/>
      <w:szCs w:val="22"/>
      <w:lang w:val="en-US" w:eastAsia="zh-CN" w:bidi="ar-SA"/>
    </w:rPr>
  </w:style>
  <w:style w:type="paragraph" w:customStyle="1" w:styleId="72">
    <w:name w:val="样式 48 10 磅"/>
    <w:uiPriority w:val="0"/>
    <w:pPr>
      <w:widowControl w:val="0"/>
      <w:jc w:val="both"/>
    </w:pPr>
    <w:rPr>
      <w:rFonts w:ascii="Calibri" w:hAnsi="Calibri" w:eastAsia="宋体" w:cs="Arial"/>
      <w:kern w:val="2"/>
      <w:sz w:val="21"/>
      <w:szCs w:val="22"/>
      <w:lang w:val="en-US" w:eastAsia="zh-CN" w:bidi="ar-SA"/>
    </w:rPr>
  </w:style>
  <w:style w:type="paragraph" w:customStyle="1" w:styleId="73">
    <w:name w:val="样式 49 10 磅"/>
    <w:uiPriority w:val="0"/>
    <w:pPr>
      <w:widowControl w:val="0"/>
      <w:jc w:val="both"/>
    </w:pPr>
    <w:rPr>
      <w:rFonts w:ascii="Calibri" w:hAnsi="Calibri" w:eastAsia="宋体" w:cs="Arial"/>
      <w:kern w:val="2"/>
      <w:sz w:val="21"/>
      <w:szCs w:val="22"/>
      <w:lang w:val="en-US" w:eastAsia="zh-CN" w:bidi="ar-SA"/>
    </w:rPr>
  </w:style>
  <w:style w:type="paragraph" w:customStyle="1" w:styleId="74">
    <w:name w:val="样式 50 10 磅"/>
    <w:uiPriority w:val="0"/>
    <w:pPr>
      <w:widowControl w:val="0"/>
      <w:jc w:val="both"/>
    </w:pPr>
    <w:rPr>
      <w:rFonts w:ascii="Calibri" w:hAnsi="Calibri" w:eastAsia="宋体" w:cs="Arial"/>
      <w:kern w:val="2"/>
      <w:sz w:val="21"/>
      <w:szCs w:val="22"/>
      <w:lang w:val="en-US" w:eastAsia="zh-CN" w:bidi="ar-SA"/>
    </w:rPr>
  </w:style>
  <w:style w:type="paragraph" w:customStyle="1" w:styleId="75">
    <w:name w:val="样式 51 10 磅"/>
    <w:uiPriority w:val="0"/>
    <w:pPr>
      <w:widowControl w:val="0"/>
      <w:jc w:val="both"/>
    </w:pPr>
    <w:rPr>
      <w:rFonts w:ascii="Calibri" w:hAnsi="Calibri" w:eastAsia="宋体" w:cs="Arial"/>
      <w:kern w:val="2"/>
      <w:sz w:val="21"/>
      <w:szCs w:val="22"/>
      <w:lang w:val="en-US" w:eastAsia="zh-CN" w:bidi="ar-SA"/>
    </w:rPr>
  </w:style>
  <w:style w:type="paragraph" w:customStyle="1" w:styleId="76">
    <w:name w:val="样式 52 10 磅"/>
    <w:uiPriority w:val="0"/>
    <w:pPr>
      <w:widowControl w:val="0"/>
      <w:jc w:val="both"/>
    </w:pPr>
    <w:rPr>
      <w:rFonts w:ascii="Calibri" w:hAnsi="Calibri" w:eastAsia="宋体" w:cs="Arial"/>
      <w:kern w:val="2"/>
      <w:sz w:val="21"/>
      <w:szCs w:val="22"/>
      <w:lang w:val="en-US" w:eastAsia="zh-CN" w:bidi="ar-SA"/>
    </w:rPr>
  </w:style>
  <w:style w:type="paragraph" w:customStyle="1" w:styleId="77">
    <w:name w:val="样式 53 10 磅"/>
    <w:uiPriority w:val="0"/>
    <w:pPr>
      <w:widowControl w:val="0"/>
      <w:jc w:val="both"/>
    </w:pPr>
    <w:rPr>
      <w:rFonts w:ascii="Calibri" w:hAnsi="Calibri" w:eastAsia="宋体" w:cs="Arial"/>
      <w:kern w:val="2"/>
      <w:sz w:val="21"/>
      <w:szCs w:val="22"/>
      <w:lang w:val="en-US" w:eastAsia="zh-CN" w:bidi="ar-SA"/>
    </w:rPr>
  </w:style>
  <w:style w:type="paragraph" w:customStyle="1" w:styleId="78">
    <w:name w:val="样式 54 10 磅"/>
    <w:uiPriority w:val="0"/>
    <w:pPr>
      <w:widowControl w:val="0"/>
      <w:jc w:val="both"/>
    </w:pPr>
    <w:rPr>
      <w:rFonts w:ascii="Calibri" w:hAnsi="Calibri" w:eastAsia="宋体" w:cs="Arial"/>
      <w:kern w:val="2"/>
      <w:sz w:val="21"/>
      <w:szCs w:val="22"/>
      <w:lang w:val="en-US" w:eastAsia="zh-CN" w:bidi="ar-SA"/>
    </w:rPr>
  </w:style>
  <w:style w:type="paragraph" w:customStyle="1" w:styleId="79">
    <w:name w:val="样式 55 10 磅"/>
    <w:uiPriority w:val="0"/>
    <w:pPr>
      <w:widowControl w:val="0"/>
      <w:jc w:val="both"/>
    </w:pPr>
    <w:rPr>
      <w:rFonts w:ascii="Calibri" w:hAnsi="Calibri" w:eastAsia="宋体" w:cs="Arial"/>
      <w:kern w:val="2"/>
      <w:sz w:val="21"/>
      <w:szCs w:val="22"/>
      <w:lang w:val="en-US" w:eastAsia="zh-CN" w:bidi="ar-SA"/>
    </w:rPr>
  </w:style>
  <w:style w:type="paragraph" w:customStyle="1" w:styleId="80">
    <w:name w:val="样式 56 10 磅"/>
    <w:uiPriority w:val="0"/>
    <w:pPr>
      <w:widowControl w:val="0"/>
      <w:jc w:val="both"/>
    </w:pPr>
    <w:rPr>
      <w:rFonts w:ascii="Calibri" w:hAnsi="Calibri" w:eastAsia="宋体" w:cs="Arial"/>
      <w:kern w:val="2"/>
      <w:sz w:val="21"/>
      <w:szCs w:val="22"/>
      <w:lang w:val="en-US" w:eastAsia="zh-CN" w:bidi="ar-SA"/>
    </w:rPr>
  </w:style>
  <w:style w:type="paragraph" w:customStyle="1" w:styleId="81">
    <w:name w:val="样式 57 10 磅"/>
    <w:uiPriority w:val="0"/>
    <w:pPr>
      <w:widowControl w:val="0"/>
      <w:jc w:val="both"/>
    </w:pPr>
    <w:rPr>
      <w:rFonts w:ascii="Calibri" w:hAnsi="Calibri" w:eastAsia="宋体" w:cs="Arial"/>
      <w:kern w:val="2"/>
      <w:sz w:val="21"/>
      <w:szCs w:val="22"/>
      <w:lang w:val="en-US" w:eastAsia="zh-CN" w:bidi="ar-SA"/>
    </w:rPr>
  </w:style>
  <w:style w:type="paragraph" w:customStyle="1" w:styleId="82">
    <w:name w:val="样式 58 10 磅"/>
    <w:uiPriority w:val="0"/>
    <w:pPr>
      <w:widowControl w:val="0"/>
      <w:jc w:val="both"/>
    </w:pPr>
    <w:rPr>
      <w:rFonts w:ascii="Calibri" w:hAnsi="Calibri" w:eastAsia="宋体" w:cs="Arial"/>
      <w:kern w:val="2"/>
      <w:sz w:val="21"/>
      <w:szCs w:val="22"/>
      <w:lang w:val="en-US" w:eastAsia="zh-CN" w:bidi="ar-SA"/>
    </w:rPr>
  </w:style>
  <w:style w:type="paragraph" w:customStyle="1" w:styleId="83">
    <w:name w:val="样式 59 10 磅"/>
    <w:uiPriority w:val="0"/>
    <w:pPr>
      <w:widowControl w:val="0"/>
      <w:jc w:val="both"/>
    </w:pPr>
    <w:rPr>
      <w:rFonts w:ascii="Calibri" w:hAnsi="Calibri" w:eastAsia="宋体" w:cs="Arial"/>
      <w:kern w:val="2"/>
      <w:sz w:val="21"/>
      <w:szCs w:val="22"/>
      <w:lang w:val="en-US" w:eastAsia="zh-CN" w:bidi="ar-SA"/>
    </w:rPr>
  </w:style>
  <w:style w:type="paragraph" w:customStyle="1" w:styleId="84">
    <w:name w:val="样式 60 10 磅"/>
    <w:uiPriority w:val="0"/>
    <w:pPr>
      <w:widowControl w:val="0"/>
      <w:jc w:val="both"/>
    </w:pPr>
    <w:rPr>
      <w:rFonts w:ascii="Calibri" w:hAnsi="Calibri" w:eastAsia="宋体" w:cs="Arial"/>
      <w:kern w:val="2"/>
      <w:sz w:val="21"/>
      <w:szCs w:val="22"/>
      <w:lang w:val="en-US" w:eastAsia="zh-CN" w:bidi="ar-SA"/>
    </w:rPr>
  </w:style>
  <w:style w:type="paragraph" w:customStyle="1" w:styleId="85">
    <w:name w:val="样式 61 10 磅"/>
    <w:uiPriority w:val="0"/>
    <w:pPr>
      <w:widowControl w:val="0"/>
      <w:jc w:val="both"/>
    </w:pPr>
    <w:rPr>
      <w:rFonts w:ascii="Calibri" w:hAnsi="Calibri" w:eastAsia="宋体" w:cs="Arial"/>
      <w:kern w:val="2"/>
      <w:sz w:val="21"/>
      <w:szCs w:val="22"/>
      <w:lang w:val="en-US" w:eastAsia="zh-CN" w:bidi="ar-SA"/>
    </w:rPr>
  </w:style>
  <w:style w:type="paragraph" w:customStyle="1" w:styleId="86">
    <w:name w:val="样式 62 10 磅"/>
    <w:uiPriority w:val="0"/>
    <w:pPr>
      <w:widowControl w:val="0"/>
      <w:jc w:val="both"/>
    </w:pPr>
    <w:rPr>
      <w:rFonts w:ascii="Calibri" w:hAnsi="Calibri" w:eastAsia="宋体" w:cs="Arial"/>
      <w:kern w:val="2"/>
      <w:sz w:val="21"/>
      <w:szCs w:val="22"/>
      <w:lang w:val="en-US" w:eastAsia="zh-CN" w:bidi="ar-SA"/>
    </w:rPr>
  </w:style>
  <w:style w:type="paragraph" w:customStyle="1" w:styleId="87">
    <w:name w:val="样式 63 10 磅"/>
    <w:uiPriority w:val="0"/>
    <w:pPr>
      <w:widowControl w:val="0"/>
      <w:jc w:val="both"/>
    </w:pPr>
    <w:rPr>
      <w:rFonts w:ascii="Calibri" w:hAnsi="Calibri" w:eastAsia="宋体" w:cs="Arial"/>
      <w:kern w:val="2"/>
      <w:sz w:val="21"/>
      <w:szCs w:val="22"/>
      <w:lang w:val="en-US" w:eastAsia="zh-CN" w:bidi="ar-SA"/>
    </w:rPr>
  </w:style>
  <w:style w:type="paragraph" w:customStyle="1" w:styleId="88">
    <w:name w:val="样式 64 10 磅"/>
    <w:uiPriority w:val="0"/>
    <w:pPr>
      <w:widowControl w:val="0"/>
      <w:jc w:val="both"/>
    </w:pPr>
    <w:rPr>
      <w:rFonts w:ascii="Calibri" w:hAnsi="Calibri" w:eastAsia="宋体" w:cs="Arial"/>
      <w:kern w:val="2"/>
      <w:sz w:val="21"/>
      <w:szCs w:val="22"/>
      <w:lang w:val="en-US" w:eastAsia="zh-CN" w:bidi="ar-SA"/>
    </w:rPr>
  </w:style>
  <w:style w:type="paragraph" w:customStyle="1" w:styleId="89">
    <w:name w:val="样式 65 10 磅"/>
    <w:uiPriority w:val="0"/>
    <w:pPr>
      <w:widowControl w:val="0"/>
      <w:jc w:val="both"/>
    </w:pPr>
    <w:rPr>
      <w:rFonts w:ascii="Calibri" w:hAnsi="Calibri" w:eastAsia="宋体" w:cs="Arial"/>
      <w:kern w:val="2"/>
      <w:sz w:val="21"/>
      <w:szCs w:val="22"/>
      <w:lang w:val="en-US" w:eastAsia="zh-CN" w:bidi="ar-SA"/>
    </w:rPr>
  </w:style>
  <w:style w:type="paragraph" w:customStyle="1" w:styleId="90">
    <w:name w:val="样式 66 10 磅"/>
    <w:uiPriority w:val="0"/>
    <w:pPr>
      <w:widowControl w:val="0"/>
      <w:jc w:val="both"/>
    </w:pPr>
    <w:rPr>
      <w:rFonts w:ascii="Calibri" w:hAnsi="Calibri" w:eastAsia="宋体" w:cs="Arial"/>
      <w:kern w:val="2"/>
      <w:sz w:val="21"/>
      <w:szCs w:val="22"/>
      <w:lang w:val="en-US" w:eastAsia="zh-CN" w:bidi="ar-SA"/>
    </w:rPr>
  </w:style>
  <w:style w:type="paragraph" w:customStyle="1" w:styleId="91">
    <w:name w:val="样式 67 10 磅"/>
    <w:uiPriority w:val="0"/>
    <w:pPr>
      <w:widowControl w:val="0"/>
      <w:jc w:val="both"/>
    </w:pPr>
    <w:rPr>
      <w:rFonts w:ascii="Calibri" w:hAnsi="Calibri" w:eastAsia="宋体" w:cs="Arial"/>
      <w:kern w:val="2"/>
      <w:sz w:val="21"/>
      <w:szCs w:val="22"/>
      <w:lang w:val="en-US" w:eastAsia="zh-CN" w:bidi="ar-SA"/>
    </w:rPr>
  </w:style>
  <w:style w:type="paragraph" w:customStyle="1" w:styleId="92">
    <w:name w:val="样式 68 10 磅"/>
    <w:uiPriority w:val="0"/>
    <w:pPr>
      <w:widowControl w:val="0"/>
      <w:jc w:val="both"/>
    </w:pPr>
    <w:rPr>
      <w:rFonts w:ascii="Calibri" w:hAnsi="Calibri" w:eastAsia="宋体" w:cs="Arial"/>
      <w:kern w:val="2"/>
      <w:sz w:val="21"/>
      <w:szCs w:val="22"/>
      <w:lang w:val="en-US" w:eastAsia="zh-CN" w:bidi="ar-SA"/>
    </w:rPr>
  </w:style>
  <w:style w:type="paragraph" w:customStyle="1" w:styleId="93">
    <w:name w:val="样式 69 10 磅"/>
    <w:uiPriority w:val="0"/>
    <w:pPr>
      <w:widowControl w:val="0"/>
      <w:jc w:val="both"/>
    </w:pPr>
    <w:rPr>
      <w:rFonts w:ascii="Calibri" w:hAnsi="Calibri" w:eastAsia="宋体" w:cs="Arial"/>
      <w:kern w:val="2"/>
      <w:sz w:val="21"/>
      <w:szCs w:val="22"/>
      <w:lang w:val="en-US" w:eastAsia="zh-CN" w:bidi="ar-SA"/>
    </w:rPr>
  </w:style>
  <w:style w:type="paragraph" w:customStyle="1" w:styleId="94">
    <w:name w:val="样式 70 10 磅"/>
    <w:uiPriority w:val="0"/>
    <w:pPr>
      <w:widowControl w:val="0"/>
      <w:jc w:val="both"/>
    </w:pPr>
    <w:rPr>
      <w:rFonts w:ascii="Calibri" w:hAnsi="Calibri" w:eastAsia="宋体" w:cs="Arial"/>
      <w:kern w:val="2"/>
      <w:sz w:val="21"/>
      <w:szCs w:val="22"/>
      <w:lang w:val="en-US" w:eastAsia="zh-CN" w:bidi="ar-SA"/>
    </w:rPr>
  </w:style>
  <w:style w:type="paragraph" w:customStyle="1" w:styleId="95">
    <w:name w:val="样式 71 10 磅"/>
    <w:uiPriority w:val="0"/>
    <w:pPr>
      <w:widowControl w:val="0"/>
      <w:jc w:val="both"/>
    </w:pPr>
    <w:rPr>
      <w:rFonts w:ascii="Calibri" w:hAnsi="Calibri" w:eastAsia="宋体" w:cs="Arial"/>
      <w:kern w:val="2"/>
      <w:sz w:val="21"/>
      <w:szCs w:val="22"/>
      <w:lang w:val="en-US" w:eastAsia="zh-CN" w:bidi="ar-SA"/>
    </w:rPr>
  </w:style>
  <w:style w:type="paragraph" w:customStyle="1" w:styleId="96">
    <w:name w:val="样式 72 10 磅"/>
    <w:uiPriority w:val="0"/>
    <w:pPr>
      <w:widowControl w:val="0"/>
      <w:jc w:val="both"/>
    </w:pPr>
    <w:rPr>
      <w:rFonts w:ascii="Calibri" w:hAnsi="Calibri" w:eastAsia="宋体" w:cs="Arial"/>
      <w:kern w:val="2"/>
      <w:sz w:val="21"/>
      <w:szCs w:val="22"/>
      <w:lang w:val="en-US" w:eastAsia="zh-CN" w:bidi="ar-SA"/>
    </w:rPr>
  </w:style>
  <w:style w:type="paragraph" w:customStyle="1" w:styleId="97">
    <w:name w:val="样式 73 10 磅"/>
    <w:uiPriority w:val="0"/>
    <w:pPr>
      <w:widowControl w:val="0"/>
      <w:jc w:val="both"/>
    </w:pPr>
    <w:rPr>
      <w:rFonts w:ascii="Calibri" w:hAnsi="Calibri" w:eastAsia="宋体" w:cs="Arial"/>
      <w:kern w:val="2"/>
      <w:sz w:val="21"/>
      <w:szCs w:val="22"/>
      <w:lang w:val="en-US" w:eastAsia="zh-CN" w:bidi="ar-SA"/>
    </w:rPr>
  </w:style>
  <w:style w:type="paragraph" w:customStyle="1" w:styleId="98">
    <w:name w:val="样式 1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99">
    <w:name w:val="样式 2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00">
    <w:name w:val="样式 4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01">
    <w:name w:val="样式 10 10 磅"/>
    <w:uiPriority w:val="0"/>
    <w:pPr>
      <w:widowControl w:val="0"/>
      <w:spacing w:line="240" w:lineRule="auto"/>
      <w:jc w:val="both"/>
    </w:pPr>
    <w:rPr>
      <w:rFonts w:ascii="Times New Roman" w:hAnsi="Times New Roman" w:eastAsia="宋体" w:cs="Times New Roman"/>
      <w:kern w:val="2"/>
      <w:sz w:val="21"/>
      <w:szCs w:val="21"/>
      <w:lang w:val="en-US" w:eastAsia="zh-CN" w:bidi="ar-SA"/>
    </w:rPr>
  </w:style>
  <w:style w:type="paragraph" w:customStyle="1" w:styleId="102">
    <w:name w:val="样式 30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103">
    <w:name w:val="样式 31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104">
    <w:name w:val="样式 32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105">
    <w:name w:val="样式 33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106">
    <w:name w:val="样式 34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107">
    <w:name w:val="样式 35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108">
    <w:name w:val="样式 36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109">
    <w:name w:val="样式 37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110">
    <w:name w:val="样式 11 10 磅"/>
    <w:uiPriority w:val="0"/>
    <w:pPr>
      <w:widowControl w:val="0"/>
      <w:spacing w:line="240" w:lineRule="auto"/>
      <w:jc w:val="both"/>
    </w:pPr>
    <w:rPr>
      <w:rFonts w:ascii="Times New Roman" w:hAnsi="Times New Roman" w:eastAsia="宋体" w:cs="Times New Roman"/>
      <w:kern w:val="2"/>
      <w:sz w:val="21"/>
      <w:szCs w:val="21"/>
      <w:lang w:val="en-US" w:eastAsia="zh-CN" w:bidi="ar-SA"/>
    </w:rPr>
  </w:style>
  <w:style w:type="paragraph" w:customStyle="1" w:styleId="111">
    <w:name w:val="样式 38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112">
    <w:name w:val="样式 12 10 磅"/>
    <w:uiPriority w:val="0"/>
    <w:pPr>
      <w:widowControl w:val="0"/>
      <w:spacing w:line="240" w:lineRule="auto"/>
      <w:jc w:val="both"/>
    </w:pPr>
    <w:rPr>
      <w:rFonts w:ascii="Times New Roman" w:hAnsi="Times New Roman" w:eastAsia="宋体" w:cs="Times New Roman"/>
      <w:kern w:val="2"/>
      <w:sz w:val="21"/>
      <w:szCs w:val="21"/>
      <w:lang w:val="en-US" w:eastAsia="zh-CN" w:bidi="ar-SA"/>
    </w:rPr>
  </w:style>
  <w:style w:type="paragraph" w:customStyle="1" w:styleId="113">
    <w:name w:val="样式 39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114">
    <w:name w:val="样式 40 三号"/>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1951</Words>
  <Characters>1984</Characters>
  <Lines>195</Lines>
  <Paragraphs>87</Paragraphs>
  <TotalTime>1372</TotalTime>
  <ScaleCrop>false</ScaleCrop>
  <LinksUpToDate>false</LinksUpToDate>
  <CharactersWithSpaces>2133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2022-10-13T01:24:00Z</dcterms:created>
  <dc:creator>干晶宇</dc:creator>
  <cp:lastModifiedBy>综合事务</cp:lastModifiedBy>
  <cp:lastPrinted>2022-10-18T02:15:00Z</cp:lastPrinted>
  <dcterms:modified xsi:type="dcterms:W3CDTF">2023-06-30T06:35:47Z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249A846E51A64EF4AE2D9A714811574F_13</vt:lpwstr>
  </property>
</Properties>
</file>