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299DC">
      <w:pPr>
        <w:jc w:val="center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上海跨境电子商务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行业协会智库专家管理办法</w:t>
      </w:r>
    </w:p>
    <w:p w14:paraId="43B2B700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第一章 总则 </w:t>
      </w:r>
    </w:p>
    <w:p w14:paraId="5D2A6BEB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第一条 为规范本协会智库专家的选聘、履职与日常管理，发挥行业专家智力支撑作用，根据《社会团体登记管理条例》及本协会章程，制定本办法。</w:t>
      </w:r>
    </w:p>
    <w:p w14:paraId="29BD2FD9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第二条 本办法适用于本协会智库专家的聘任、履职、考核、解聘等全流程管理。</w:t>
      </w:r>
    </w:p>
    <w:p w14:paraId="2A94ED5D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第三条 专家管理遵循自愿参与、择优遴选、动态管理、权责统一的原则。</w:t>
      </w:r>
    </w:p>
    <w:p w14:paraId="55E69AF2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第二章 选聘条件与程序 </w:t>
      </w:r>
    </w:p>
    <w:p w14:paraId="232DBB0D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第四条 入选智库专家应具备以下条件： </w:t>
      </w:r>
    </w:p>
    <w:p w14:paraId="5EEFD538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1. 政治立场坚定，遵纪守法，无不良从业记录；</w:t>
      </w:r>
    </w:p>
    <w:p w14:paraId="5C5BD910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2. 在本行业相关领域具有较高专业造诣，具备副高级及以上职称/同等专业资历，或拥有丰富的行业一线实践经验；</w:t>
      </w:r>
    </w:p>
    <w:p w14:paraId="4CDA9713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3. 熟悉行业政策与发展现状，自愿参与协会智库工作；</w:t>
      </w:r>
    </w:p>
    <w:p w14:paraId="26356A6F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4. 身体健康，能够正常承担咨询、研究等工作任务。 </w:t>
      </w:r>
    </w:p>
    <w:p w14:paraId="7073CA1F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第五条 专家选聘按以下程序进行： </w:t>
      </w:r>
    </w:p>
    <w:p w14:paraId="6E8AA7DB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1. 推荐/自荐：单位推荐、行业举荐或个人自荐，提交个人简历及相关证明材料；</w:t>
      </w:r>
    </w:p>
    <w:p w14:paraId="7A823B08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2. 资格审核：协会秘书处对申报材料进行初审；</w:t>
      </w:r>
    </w:p>
    <w:p w14:paraId="7BD63B53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3. 审议批准：报协会理事会审议通过；</w:t>
      </w:r>
    </w:p>
    <w:p w14:paraId="3FA6DDCF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4. 正式聘任：颁发聘任证书，聘期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z w:val="24"/>
          <w:szCs w:val="24"/>
        </w:rPr>
        <w:t xml:space="preserve">年，期满考核合格可续聘。 </w:t>
      </w:r>
    </w:p>
    <w:p w14:paraId="4CA4C18E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第三章 权利与义务 </w:t>
      </w:r>
    </w:p>
    <w:p w14:paraId="1F80BB92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第六条 智库专家享有以下权利： </w:t>
      </w:r>
    </w:p>
    <w:p w14:paraId="177A8312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1. 参与协会组织的行业调研、课题研究、论证评审等活动；</w:t>
      </w:r>
    </w:p>
    <w:p w14:paraId="21029F6B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2. 对协会工作及行业发展提出独立意见建议；</w:t>
      </w:r>
    </w:p>
    <w:p w14:paraId="4AD388C0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3. 优先获取协会发布的行业信息与研究资料；</w:t>
      </w:r>
    </w:p>
    <w:p w14:paraId="61DBB26E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4. 可自愿申请退出智库。 </w:t>
      </w:r>
    </w:p>
    <w:p w14:paraId="2CA07B84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第七条 智库专家应履行以下义务： </w:t>
      </w:r>
    </w:p>
    <w:p w14:paraId="3A2851D4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1. 遵守本办法及协会相关规定，自觉维护协会声誉；</w:t>
      </w:r>
    </w:p>
    <w:p w14:paraId="4C74DFCA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2. 客观、公正、严谨地提供专业意见，对出具的结论负责；</w:t>
      </w:r>
    </w:p>
    <w:p w14:paraId="660D9BF7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3. 严格遵守保密规定，不得泄露工作中知悉的涉密信息、商业秘密及未公开事项；</w:t>
      </w:r>
    </w:p>
    <w:p w14:paraId="7339DD70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4. 按时完成协会委托的工作任务，积极配合相关工作安排；</w:t>
      </w:r>
    </w:p>
    <w:p w14:paraId="32F3C33C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5. 与委托事项存在利害关系的，应主动申请回避。 </w:t>
      </w:r>
    </w:p>
    <w:p w14:paraId="5AE95FD3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第四章 日常管理 </w:t>
      </w:r>
    </w:p>
    <w:p w14:paraId="4945C1EA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第八条 协会秘书处为智库日常管理部门，负责专家联络、信息更新、任务派发、履职记录等事务。</w:t>
      </w:r>
    </w:p>
    <w:p w14:paraId="7BD1EE76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第九条 专家工作形式包括但不限于：课题研究、政策咨询、项目论证、标准制定、评审评估、行业培训、应急咨询等。</w:t>
      </w:r>
    </w:p>
    <w:p w14:paraId="01587D49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第十条 协会对专家履职情况进行年度评估，评估结果作为续聘、解聘的核心依据。 </w:t>
      </w:r>
    </w:p>
    <w:p w14:paraId="24471D0B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第五章 解聘与退出 </w:t>
      </w:r>
      <w:bookmarkStart w:id="0" w:name="_GoBack"/>
      <w:bookmarkEnd w:id="0"/>
    </w:p>
    <w:p w14:paraId="42200C16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第十一条 专家有下列情形之一的，协会可予以解聘： </w:t>
      </w:r>
    </w:p>
    <w:p w14:paraId="3968F075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1. 违反国家法律法规，受到刑事处罚或重大行政处罚的；</w:t>
      </w:r>
    </w:p>
    <w:p w14:paraId="51B02FC8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2. 严重违反本办法，损害协会声誉或造成不良行业影响的；</w:t>
      </w:r>
    </w:p>
    <w:p w14:paraId="26C3DD16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3. 无正当理由拒不履行义务，连续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三</w:t>
      </w:r>
      <w:r>
        <w:rPr>
          <w:rFonts w:hint="eastAsia" w:ascii="华文中宋" w:hAnsi="华文中宋" w:eastAsia="华文中宋" w:cs="华文中宋"/>
          <w:sz w:val="24"/>
          <w:szCs w:val="24"/>
        </w:rPr>
        <w:t>次不完成委托任务的；</w:t>
      </w:r>
    </w:p>
    <w:p w14:paraId="13E380EE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4. 年度评估不合格的；</w:t>
      </w:r>
    </w:p>
    <w:p w14:paraId="60B17BBE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5. 因个人身体或其他原因无法继续履职的。 </w:t>
      </w:r>
    </w:p>
    <w:p w14:paraId="45873BCC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第十二条 专家主动退出的，应提前30日向协会秘书处提交书面申请，经确认后终止聘任。 </w:t>
      </w:r>
    </w:p>
    <w:p w14:paraId="7648967A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第六章 附则 </w:t>
      </w:r>
    </w:p>
    <w:p w14:paraId="312B73C2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第十三条 本办法由协会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理事会</w:t>
      </w:r>
      <w:r>
        <w:rPr>
          <w:rFonts w:hint="eastAsia" w:ascii="华文中宋" w:hAnsi="华文中宋" w:eastAsia="华文中宋" w:cs="华文中宋"/>
          <w:sz w:val="24"/>
          <w:szCs w:val="24"/>
        </w:rPr>
        <w:t>负责解释。</w:t>
      </w:r>
    </w:p>
    <w:p w14:paraId="12E31775"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第十四条 本办法自发布之日起施行。</w:t>
      </w:r>
    </w:p>
    <w:p w14:paraId="2E7BD3B8">
      <w:pPr>
        <w:rPr>
          <w:rFonts w:hint="eastAsia" w:ascii="华文中宋" w:hAnsi="华文中宋" w:eastAsia="华文中宋" w:cs="华文中宋"/>
          <w:sz w:val="24"/>
          <w:szCs w:val="24"/>
        </w:rPr>
      </w:pPr>
    </w:p>
    <w:p w14:paraId="0321CCC4">
      <w:pPr>
        <w:jc w:val="righ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上海跨境电子商务行业协会</w:t>
      </w:r>
    </w:p>
    <w:p w14:paraId="4B8BBFD9">
      <w:pPr>
        <w:jc w:val="right"/>
        <w:rPr>
          <w:rFonts w:hint="default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2026年7月1日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C77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7F7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7F7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YWI4MzI0NmM1OTVkMmIxMjRiMTU3ZTI3ZmFjMjkifQ=="/>
  </w:docVars>
  <w:rsids>
    <w:rsidRoot w:val="60BB5041"/>
    <w:rsid w:val="56FE27AA"/>
    <w:rsid w:val="571157F3"/>
    <w:rsid w:val="60B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1038</Words>
  <Characters>1064</Characters>
  <Lines>0</Lines>
  <Paragraphs>0</Paragraphs>
  <TotalTime>29</TotalTime>
  <ScaleCrop>false</ScaleCrop>
  <LinksUpToDate>false</LinksUpToDate>
  <CharactersWithSpaces>1124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2026-07-02T02:22:00Z</dcterms:created>
  <dc:creator>萌见花开</dc:creator>
  <cp:lastModifiedBy>萌见花开</cp:lastModifiedBy>
  <dcterms:modified xsi:type="dcterms:W3CDTF">2026-07-03T02:49:09Z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E54BCF30ABF5416AA0302F454C64CDF1_13</vt:lpwstr>
  </property>
</Properties>
</file>